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265" w:rsidRPr="006A7265" w:rsidRDefault="006A7265" w:rsidP="006A7265">
      <w:pPr>
        <w:spacing w:after="0" w:line="240" w:lineRule="auto"/>
        <w:jc w:val="center"/>
        <w:rPr>
          <w:rFonts w:ascii="Times New Roman" w:eastAsia="Times New Roman" w:hAnsi="Times New Roman" w:cs="Times New Roman"/>
          <w:b/>
          <w:sz w:val="24"/>
          <w:szCs w:val="24"/>
          <w:lang w:eastAsia="es-CO"/>
        </w:rPr>
      </w:pPr>
      <w:r w:rsidRPr="006A7265">
        <w:rPr>
          <w:rFonts w:ascii="Times New Roman" w:eastAsia="Times New Roman" w:hAnsi="Times New Roman" w:cs="Times New Roman"/>
          <w:b/>
          <w:bCs/>
          <w:sz w:val="24"/>
          <w:szCs w:val="24"/>
          <w:lang w:eastAsia="es-CO"/>
        </w:rPr>
        <w:t>OFICIO N° 024057</w:t>
      </w:r>
    </w:p>
    <w:p w:rsidR="006A7265" w:rsidRPr="006A7265" w:rsidRDefault="006A7265" w:rsidP="006A7265">
      <w:pPr>
        <w:spacing w:after="0" w:line="240" w:lineRule="auto"/>
        <w:jc w:val="center"/>
        <w:rPr>
          <w:rFonts w:ascii="Times New Roman" w:eastAsia="Times New Roman" w:hAnsi="Times New Roman" w:cs="Times New Roman"/>
          <w:b/>
          <w:sz w:val="24"/>
          <w:szCs w:val="24"/>
          <w:lang w:eastAsia="es-CO"/>
        </w:rPr>
      </w:pPr>
      <w:r w:rsidRPr="006A7265">
        <w:rPr>
          <w:rFonts w:ascii="Times New Roman" w:eastAsia="Times New Roman" w:hAnsi="Times New Roman" w:cs="Times New Roman"/>
          <w:b/>
          <w:sz w:val="24"/>
          <w:szCs w:val="24"/>
          <w:lang w:eastAsia="es-CO"/>
        </w:rPr>
        <w:t>24-04-2013</w:t>
      </w:r>
    </w:p>
    <w:p w:rsidR="006A7265" w:rsidRPr="006A7265" w:rsidRDefault="006A7265" w:rsidP="006A7265">
      <w:pPr>
        <w:spacing w:after="0" w:line="240" w:lineRule="auto"/>
        <w:jc w:val="center"/>
        <w:rPr>
          <w:rFonts w:ascii="Times New Roman" w:eastAsia="Times New Roman" w:hAnsi="Times New Roman" w:cs="Times New Roman"/>
          <w:b/>
          <w:sz w:val="24"/>
          <w:szCs w:val="24"/>
          <w:lang w:eastAsia="es-CO"/>
        </w:rPr>
      </w:pPr>
      <w:r w:rsidRPr="006A7265">
        <w:rPr>
          <w:rFonts w:ascii="Times New Roman" w:eastAsia="Times New Roman" w:hAnsi="Times New Roman" w:cs="Times New Roman"/>
          <w:b/>
          <w:sz w:val="24"/>
          <w:szCs w:val="24"/>
          <w:lang w:eastAsia="es-CO"/>
        </w:rPr>
        <w:t>DIAN</w:t>
      </w:r>
    </w:p>
    <w:p w:rsidR="006A7265" w:rsidRPr="006A7265" w:rsidRDefault="006A7265" w:rsidP="006A7265">
      <w:pPr>
        <w:spacing w:after="0" w:line="240" w:lineRule="auto"/>
        <w:jc w:val="both"/>
        <w:rPr>
          <w:rFonts w:ascii="Times New Roman" w:eastAsia="Times New Roman" w:hAnsi="Times New Roman" w:cs="Times New Roman"/>
          <w:b/>
          <w:sz w:val="24"/>
          <w:szCs w:val="24"/>
          <w:lang w:eastAsia="es-CO"/>
        </w:rPr>
      </w:pPr>
    </w:p>
    <w:p w:rsidR="006A7265" w:rsidRPr="006A7265" w:rsidRDefault="006A7265" w:rsidP="006A7265">
      <w:pPr>
        <w:spacing w:after="0" w:line="240" w:lineRule="auto"/>
        <w:jc w:val="both"/>
        <w:rPr>
          <w:rFonts w:ascii="Times New Roman" w:eastAsia="Times New Roman" w:hAnsi="Times New Roman" w:cs="Times New Roman"/>
          <w:b/>
          <w:sz w:val="24"/>
          <w:szCs w:val="24"/>
          <w:lang w:eastAsia="es-CO"/>
        </w:rPr>
      </w:pPr>
    </w:p>
    <w:p w:rsidR="006A7265" w:rsidRPr="006A7265" w:rsidRDefault="006A7265" w:rsidP="006A7265">
      <w:pPr>
        <w:spacing w:after="0" w:line="240" w:lineRule="auto"/>
        <w:jc w:val="both"/>
        <w:rPr>
          <w:rFonts w:ascii="Times New Roman" w:eastAsia="Times New Roman" w:hAnsi="Times New Roman" w:cs="Times New Roman"/>
          <w:sz w:val="24"/>
          <w:szCs w:val="24"/>
          <w:lang w:eastAsia="es-CO"/>
        </w:rPr>
      </w:pPr>
      <w:r w:rsidRPr="006A7265">
        <w:rPr>
          <w:rFonts w:ascii="Times New Roman" w:eastAsia="Times New Roman" w:hAnsi="Times New Roman" w:cs="Times New Roman"/>
          <w:sz w:val="24"/>
          <w:szCs w:val="24"/>
          <w:lang w:eastAsia="es-CO"/>
        </w:rPr>
        <w:t>Dirección de Gestión Jurídica</w:t>
      </w:r>
    </w:p>
    <w:p w:rsidR="006A7265" w:rsidRPr="006A7265" w:rsidRDefault="006A7265" w:rsidP="006A7265">
      <w:pPr>
        <w:spacing w:after="0" w:line="240" w:lineRule="auto"/>
        <w:jc w:val="both"/>
        <w:rPr>
          <w:rFonts w:ascii="Times New Roman" w:eastAsia="Times New Roman" w:hAnsi="Times New Roman" w:cs="Times New Roman"/>
          <w:sz w:val="24"/>
          <w:szCs w:val="24"/>
          <w:lang w:eastAsia="es-CO"/>
        </w:rPr>
      </w:pPr>
      <w:r w:rsidRPr="006A7265">
        <w:rPr>
          <w:rFonts w:ascii="Times New Roman" w:eastAsia="Times New Roman" w:hAnsi="Times New Roman" w:cs="Times New Roman"/>
          <w:sz w:val="24"/>
          <w:szCs w:val="24"/>
          <w:lang w:eastAsia="es-CO"/>
        </w:rPr>
        <w:t>Bogotá, D. C.</w:t>
      </w:r>
      <w:bookmarkStart w:id="0" w:name="_GoBack"/>
      <w:bookmarkEnd w:id="0"/>
    </w:p>
    <w:p w:rsidR="006A7265" w:rsidRPr="006A7265" w:rsidRDefault="006A7265" w:rsidP="006A7265">
      <w:pPr>
        <w:spacing w:after="0" w:line="240" w:lineRule="auto"/>
        <w:jc w:val="both"/>
        <w:rPr>
          <w:rFonts w:ascii="Times New Roman" w:eastAsia="Times New Roman" w:hAnsi="Times New Roman" w:cs="Times New Roman"/>
          <w:sz w:val="24"/>
          <w:szCs w:val="24"/>
          <w:lang w:eastAsia="es-CO"/>
        </w:rPr>
      </w:pPr>
      <w:r w:rsidRPr="006A7265">
        <w:rPr>
          <w:rFonts w:ascii="Times New Roman" w:eastAsia="Times New Roman" w:hAnsi="Times New Roman" w:cs="Times New Roman"/>
          <w:sz w:val="24"/>
          <w:szCs w:val="24"/>
          <w:lang w:eastAsia="es-CO"/>
        </w:rPr>
        <w:t>100202208-521</w:t>
      </w:r>
    </w:p>
    <w:p w:rsidR="006A7265" w:rsidRPr="006A7265" w:rsidRDefault="006A7265" w:rsidP="006A7265">
      <w:pPr>
        <w:spacing w:after="0" w:line="240" w:lineRule="auto"/>
        <w:jc w:val="both"/>
        <w:rPr>
          <w:rFonts w:ascii="Times New Roman" w:eastAsia="Times New Roman" w:hAnsi="Times New Roman" w:cs="Times New Roman"/>
          <w:sz w:val="24"/>
          <w:szCs w:val="24"/>
          <w:lang w:eastAsia="es-CO"/>
        </w:rPr>
      </w:pPr>
    </w:p>
    <w:p w:rsidR="006A7265" w:rsidRPr="006A7265" w:rsidRDefault="006A7265" w:rsidP="006A7265">
      <w:pPr>
        <w:spacing w:after="0" w:line="240" w:lineRule="auto"/>
        <w:jc w:val="both"/>
        <w:rPr>
          <w:rFonts w:ascii="Times New Roman" w:eastAsia="Times New Roman" w:hAnsi="Times New Roman" w:cs="Times New Roman"/>
          <w:sz w:val="24"/>
          <w:szCs w:val="24"/>
          <w:lang w:eastAsia="es-CO"/>
        </w:rPr>
      </w:pPr>
      <w:r w:rsidRPr="006A7265">
        <w:rPr>
          <w:rFonts w:ascii="Times New Roman" w:eastAsia="Times New Roman" w:hAnsi="Times New Roman" w:cs="Times New Roman"/>
          <w:sz w:val="24"/>
          <w:szCs w:val="24"/>
          <w:lang w:eastAsia="es-CO"/>
        </w:rPr>
        <w:t>Doctora</w:t>
      </w:r>
    </w:p>
    <w:p w:rsidR="006A7265" w:rsidRPr="006A7265" w:rsidRDefault="006A7265" w:rsidP="006A7265">
      <w:pPr>
        <w:spacing w:after="0" w:line="240" w:lineRule="auto"/>
        <w:jc w:val="both"/>
        <w:rPr>
          <w:rFonts w:ascii="Times New Roman" w:eastAsia="Times New Roman" w:hAnsi="Times New Roman" w:cs="Times New Roman"/>
          <w:b/>
          <w:sz w:val="24"/>
          <w:szCs w:val="24"/>
          <w:lang w:eastAsia="es-CO"/>
        </w:rPr>
      </w:pPr>
      <w:r w:rsidRPr="006A7265">
        <w:rPr>
          <w:rFonts w:ascii="Times New Roman" w:eastAsia="Times New Roman" w:hAnsi="Times New Roman" w:cs="Times New Roman"/>
          <w:b/>
          <w:sz w:val="24"/>
          <w:szCs w:val="24"/>
          <w:lang w:eastAsia="es-CO"/>
        </w:rPr>
        <w:t>LIZA MINELLY BOTELLO PAYARES</w:t>
      </w:r>
    </w:p>
    <w:p w:rsidR="006A7265" w:rsidRPr="006A7265" w:rsidRDefault="006A7265" w:rsidP="006A7265">
      <w:pPr>
        <w:spacing w:after="0" w:line="240" w:lineRule="auto"/>
        <w:jc w:val="both"/>
        <w:rPr>
          <w:rFonts w:ascii="Times New Roman" w:eastAsia="Times New Roman" w:hAnsi="Times New Roman" w:cs="Times New Roman"/>
          <w:sz w:val="24"/>
          <w:szCs w:val="24"/>
          <w:lang w:eastAsia="es-CO"/>
        </w:rPr>
      </w:pPr>
      <w:r w:rsidRPr="006A7265">
        <w:rPr>
          <w:rFonts w:ascii="Times New Roman" w:eastAsia="Times New Roman" w:hAnsi="Times New Roman" w:cs="Times New Roman"/>
          <w:sz w:val="24"/>
          <w:szCs w:val="24"/>
          <w:lang w:eastAsia="es-CO"/>
        </w:rPr>
        <w:t>Jefe Coordinación de Contabilidad General Subdirección de Gestión de Recursos Financieros</w:t>
      </w:r>
    </w:p>
    <w:p w:rsidR="006A7265" w:rsidRPr="006A7265" w:rsidRDefault="006A7265" w:rsidP="006A7265">
      <w:pPr>
        <w:spacing w:after="0" w:line="240" w:lineRule="auto"/>
        <w:jc w:val="both"/>
        <w:rPr>
          <w:rFonts w:ascii="Times New Roman" w:eastAsia="Times New Roman" w:hAnsi="Times New Roman" w:cs="Times New Roman"/>
          <w:sz w:val="24"/>
          <w:szCs w:val="24"/>
          <w:lang w:eastAsia="es-CO"/>
        </w:rPr>
      </w:pPr>
      <w:r w:rsidRPr="006A7265">
        <w:rPr>
          <w:rFonts w:ascii="Times New Roman" w:eastAsia="Times New Roman" w:hAnsi="Times New Roman" w:cs="Times New Roman"/>
          <w:sz w:val="24"/>
          <w:szCs w:val="24"/>
          <w:lang w:eastAsia="es-CO"/>
        </w:rPr>
        <w:t>Dirección de Gestión de Recursos y Administración Económica</w:t>
      </w:r>
    </w:p>
    <w:p w:rsidR="006A7265" w:rsidRPr="006A7265" w:rsidRDefault="006A7265" w:rsidP="006A7265">
      <w:pPr>
        <w:spacing w:after="0" w:line="240" w:lineRule="auto"/>
        <w:jc w:val="both"/>
        <w:rPr>
          <w:rFonts w:ascii="Times New Roman" w:eastAsia="Times New Roman" w:hAnsi="Times New Roman" w:cs="Times New Roman"/>
          <w:sz w:val="24"/>
          <w:szCs w:val="24"/>
          <w:lang w:eastAsia="es-CO"/>
        </w:rPr>
      </w:pPr>
      <w:r w:rsidRPr="006A7265">
        <w:rPr>
          <w:rFonts w:ascii="Times New Roman" w:eastAsia="Times New Roman" w:hAnsi="Times New Roman" w:cs="Times New Roman"/>
          <w:sz w:val="24"/>
          <w:szCs w:val="24"/>
          <w:lang w:eastAsia="es-CO"/>
        </w:rPr>
        <w:t>Carrera 7a N° 6-54 piso 8°.</w:t>
      </w:r>
    </w:p>
    <w:p w:rsidR="006A7265" w:rsidRPr="006A7265" w:rsidRDefault="006A7265" w:rsidP="006A7265">
      <w:pPr>
        <w:spacing w:after="0" w:line="240" w:lineRule="auto"/>
        <w:jc w:val="both"/>
        <w:rPr>
          <w:rFonts w:ascii="Times New Roman" w:eastAsia="Times New Roman" w:hAnsi="Times New Roman" w:cs="Times New Roman"/>
          <w:sz w:val="24"/>
          <w:szCs w:val="24"/>
          <w:lang w:eastAsia="es-CO"/>
        </w:rPr>
      </w:pPr>
      <w:r w:rsidRPr="006A7265">
        <w:rPr>
          <w:rFonts w:ascii="Times New Roman" w:eastAsia="Times New Roman" w:hAnsi="Times New Roman" w:cs="Times New Roman"/>
          <w:sz w:val="24"/>
          <w:szCs w:val="24"/>
          <w:lang w:eastAsia="es-CO"/>
        </w:rPr>
        <w:t>Bogotá, D. C.</w:t>
      </w:r>
    </w:p>
    <w:p w:rsidR="006A7265" w:rsidRPr="006A7265" w:rsidRDefault="006A7265" w:rsidP="006A7265">
      <w:pPr>
        <w:spacing w:after="0" w:line="240" w:lineRule="auto"/>
        <w:jc w:val="both"/>
        <w:rPr>
          <w:rFonts w:ascii="Times New Roman" w:eastAsia="Times New Roman" w:hAnsi="Times New Roman" w:cs="Times New Roman"/>
          <w:b/>
          <w:bCs/>
          <w:sz w:val="24"/>
          <w:szCs w:val="24"/>
          <w:lang w:eastAsia="es-CO"/>
        </w:rPr>
      </w:pPr>
    </w:p>
    <w:p w:rsidR="006A7265" w:rsidRPr="006A7265" w:rsidRDefault="006A7265" w:rsidP="006A7265">
      <w:pPr>
        <w:spacing w:after="0" w:line="240" w:lineRule="auto"/>
        <w:jc w:val="both"/>
        <w:rPr>
          <w:rFonts w:ascii="Times New Roman" w:eastAsia="Times New Roman" w:hAnsi="Times New Roman" w:cs="Times New Roman"/>
          <w:sz w:val="24"/>
          <w:szCs w:val="24"/>
          <w:lang w:eastAsia="es-CO"/>
        </w:rPr>
      </w:pPr>
      <w:r w:rsidRPr="006A7265">
        <w:rPr>
          <w:rFonts w:ascii="Times New Roman" w:eastAsia="Times New Roman" w:hAnsi="Times New Roman" w:cs="Times New Roman"/>
          <w:b/>
          <w:bCs/>
          <w:sz w:val="24"/>
          <w:szCs w:val="24"/>
          <w:lang w:eastAsia="es-CO"/>
        </w:rPr>
        <w:t xml:space="preserve">Referencia: </w:t>
      </w:r>
      <w:r w:rsidRPr="006A7265">
        <w:rPr>
          <w:rFonts w:ascii="Times New Roman" w:eastAsia="Times New Roman" w:hAnsi="Times New Roman" w:cs="Times New Roman"/>
          <w:sz w:val="24"/>
          <w:szCs w:val="24"/>
          <w:lang w:eastAsia="es-CO"/>
        </w:rPr>
        <w:t>Radicado 0506 del 23/04/2013</w:t>
      </w:r>
    </w:p>
    <w:p w:rsidR="006A7265" w:rsidRPr="006A7265" w:rsidRDefault="006A7265" w:rsidP="006A7265">
      <w:pPr>
        <w:spacing w:after="0" w:line="240" w:lineRule="auto"/>
        <w:jc w:val="both"/>
        <w:rPr>
          <w:rFonts w:ascii="Times New Roman" w:eastAsia="Times New Roman" w:hAnsi="Times New Roman" w:cs="Times New Roman"/>
          <w:sz w:val="24"/>
          <w:szCs w:val="24"/>
          <w:lang w:eastAsia="es-CO"/>
        </w:rPr>
      </w:pPr>
    </w:p>
    <w:p w:rsidR="006A7265" w:rsidRPr="006A7265" w:rsidRDefault="006A7265" w:rsidP="006A7265">
      <w:pPr>
        <w:spacing w:after="0" w:line="240" w:lineRule="auto"/>
        <w:jc w:val="both"/>
        <w:rPr>
          <w:rFonts w:ascii="Times New Roman" w:eastAsia="Times New Roman" w:hAnsi="Times New Roman" w:cs="Times New Roman"/>
          <w:sz w:val="24"/>
          <w:szCs w:val="24"/>
          <w:lang w:eastAsia="es-CO"/>
        </w:rPr>
      </w:pPr>
      <w:r w:rsidRPr="006A7265">
        <w:rPr>
          <w:rFonts w:ascii="Times New Roman" w:eastAsia="Times New Roman" w:hAnsi="Times New Roman" w:cs="Times New Roman"/>
          <w:b/>
          <w:sz w:val="24"/>
          <w:szCs w:val="24"/>
          <w:lang w:eastAsia="es-CO"/>
        </w:rPr>
        <w:t>Tema</w:t>
      </w:r>
      <w:r w:rsidRPr="006A7265">
        <w:rPr>
          <w:rFonts w:ascii="Times New Roman" w:eastAsia="Times New Roman" w:hAnsi="Times New Roman" w:cs="Times New Roman"/>
          <w:sz w:val="24"/>
          <w:szCs w:val="24"/>
          <w:lang w:eastAsia="es-CO"/>
        </w:rPr>
        <w:t xml:space="preserve"> Retención en la fuente</w:t>
      </w:r>
    </w:p>
    <w:p w:rsidR="006A7265" w:rsidRPr="006A7265" w:rsidRDefault="006A7265" w:rsidP="006A7265">
      <w:pPr>
        <w:spacing w:after="0" w:line="240" w:lineRule="auto"/>
        <w:jc w:val="both"/>
        <w:rPr>
          <w:rFonts w:ascii="Times New Roman" w:eastAsia="Times New Roman" w:hAnsi="Times New Roman" w:cs="Times New Roman"/>
          <w:sz w:val="24"/>
          <w:szCs w:val="24"/>
          <w:lang w:eastAsia="es-CO"/>
        </w:rPr>
      </w:pPr>
      <w:proofErr w:type="gramStart"/>
      <w:r w:rsidRPr="006A7265">
        <w:rPr>
          <w:rFonts w:ascii="Times New Roman" w:eastAsia="Times New Roman" w:hAnsi="Times New Roman" w:cs="Times New Roman"/>
          <w:b/>
          <w:sz w:val="24"/>
          <w:szCs w:val="24"/>
          <w:lang w:eastAsia="es-CO"/>
        </w:rPr>
        <w:t>Descriptor</w:t>
      </w:r>
      <w:r w:rsidRPr="006A7265">
        <w:rPr>
          <w:rFonts w:ascii="Times New Roman" w:eastAsia="Times New Roman" w:hAnsi="Times New Roman" w:cs="Times New Roman"/>
          <w:sz w:val="24"/>
          <w:szCs w:val="24"/>
          <w:lang w:eastAsia="es-CO"/>
        </w:rPr>
        <w:t xml:space="preserve"> Retención en la fuente por rentas de trabajo - empleados</w:t>
      </w:r>
      <w:proofErr w:type="gramEnd"/>
    </w:p>
    <w:p w:rsidR="006A7265" w:rsidRPr="006A7265" w:rsidRDefault="006A7265" w:rsidP="006A7265">
      <w:pPr>
        <w:spacing w:after="0" w:line="240" w:lineRule="auto"/>
        <w:jc w:val="both"/>
        <w:rPr>
          <w:rFonts w:ascii="Times New Roman" w:eastAsia="Times New Roman" w:hAnsi="Times New Roman" w:cs="Times New Roman"/>
          <w:color w:val="0089E1"/>
          <w:sz w:val="24"/>
          <w:szCs w:val="24"/>
          <w:lang w:eastAsia="es-CO"/>
        </w:rPr>
      </w:pPr>
      <w:r w:rsidRPr="006A7265">
        <w:rPr>
          <w:rFonts w:ascii="Times New Roman" w:eastAsia="Times New Roman" w:hAnsi="Times New Roman" w:cs="Times New Roman"/>
          <w:b/>
          <w:sz w:val="24"/>
          <w:szCs w:val="24"/>
          <w:lang w:eastAsia="es-CO"/>
        </w:rPr>
        <w:t>Fuentes</w:t>
      </w:r>
      <w:r w:rsidRPr="006A7265">
        <w:rPr>
          <w:rFonts w:ascii="Times New Roman" w:eastAsia="Times New Roman" w:hAnsi="Times New Roman" w:cs="Times New Roman"/>
          <w:sz w:val="24"/>
          <w:szCs w:val="24"/>
          <w:lang w:eastAsia="es-CO"/>
        </w:rPr>
        <w:t xml:space="preserve"> </w:t>
      </w:r>
      <w:r w:rsidRPr="006A7265">
        <w:rPr>
          <w:rFonts w:ascii="Times New Roman" w:eastAsia="Times New Roman" w:hAnsi="Times New Roman" w:cs="Times New Roman"/>
          <w:b/>
          <w:sz w:val="24"/>
          <w:szCs w:val="24"/>
          <w:lang w:eastAsia="es-CO"/>
        </w:rPr>
        <w:t>formales</w:t>
      </w:r>
      <w:r w:rsidRPr="006A7265">
        <w:rPr>
          <w:rFonts w:ascii="Times New Roman" w:eastAsia="Times New Roman" w:hAnsi="Times New Roman" w:cs="Times New Roman"/>
          <w:sz w:val="24"/>
          <w:szCs w:val="24"/>
          <w:lang w:eastAsia="es-CO"/>
        </w:rPr>
        <w:t xml:space="preserve"> Estatuto Tributario, artículos </w:t>
      </w:r>
      <w:hyperlink r:id="rId5" w:tooltip="Estatuto Tributario CETA" w:history="1">
        <w:r w:rsidRPr="006A7265">
          <w:rPr>
            <w:rFonts w:ascii="Times New Roman" w:eastAsia="Times New Roman" w:hAnsi="Times New Roman" w:cs="Times New Roman"/>
            <w:color w:val="0089E1"/>
            <w:sz w:val="24"/>
            <w:szCs w:val="24"/>
            <w:lang w:eastAsia="es-CO"/>
          </w:rPr>
          <w:t>126-1</w:t>
        </w:r>
      </w:hyperlink>
      <w:r w:rsidRPr="006A7265">
        <w:rPr>
          <w:rFonts w:ascii="Times New Roman" w:eastAsia="Times New Roman" w:hAnsi="Times New Roman" w:cs="Times New Roman"/>
          <w:sz w:val="24"/>
          <w:szCs w:val="24"/>
          <w:lang w:eastAsia="es-CO"/>
        </w:rPr>
        <w:t xml:space="preserve">, </w:t>
      </w:r>
      <w:hyperlink r:id="rId6" w:tooltip="Estatuto Tributario CETA" w:history="1">
        <w:r w:rsidRPr="006A7265">
          <w:rPr>
            <w:rFonts w:ascii="Times New Roman" w:eastAsia="Times New Roman" w:hAnsi="Times New Roman" w:cs="Times New Roman"/>
            <w:color w:val="0089E1"/>
            <w:sz w:val="24"/>
            <w:szCs w:val="24"/>
            <w:lang w:eastAsia="es-CO"/>
          </w:rPr>
          <w:t>126-4</w:t>
        </w:r>
      </w:hyperlink>
      <w:r w:rsidRPr="006A7265">
        <w:rPr>
          <w:rFonts w:ascii="Times New Roman" w:eastAsia="Times New Roman" w:hAnsi="Times New Roman" w:cs="Times New Roman"/>
          <w:sz w:val="24"/>
          <w:szCs w:val="24"/>
          <w:lang w:eastAsia="es-CO"/>
        </w:rPr>
        <w:t xml:space="preserve">, </w:t>
      </w:r>
      <w:hyperlink r:id="rId7" w:tooltip="Estatuto Tributario CETA" w:history="1">
        <w:r w:rsidRPr="006A7265">
          <w:rPr>
            <w:rFonts w:ascii="Times New Roman" w:eastAsia="Times New Roman" w:hAnsi="Times New Roman" w:cs="Times New Roman"/>
            <w:color w:val="0089E1"/>
            <w:sz w:val="24"/>
            <w:szCs w:val="24"/>
            <w:lang w:eastAsia="es-CO"/>
          </w:rPr>
          <w:t>329</w:t>
        </w:r>
      </w:hyperlink>
      <w:r w:rsidRPr="006A7265">
        <w:rPr>
          <w:rFonts w:ascii="Times New Roman" w:eastAsia="Times New Roman" w:hAnsi="Times New Roman" w:cs="Times New Roman"/>
          <w:sz w:val="24"/>
          <w:szCs w:val="24"/>
          <w:lang w:eastAsia="es-CO"/>
        </w:rPr>
        <w:t xml:space="preserve">, </w:t>
      </w:r>
      <w:hyperlink r:id="rId8" w:tooltip="Estatuto Tributario CETA" w:history="1">
        <w:r w:rsidRPr="006A7265">
          <w:rPr>
            <w:rFonts w:ascii="Times New Roman" w:eastAsia="Times New Roman" w:hAnsi="Times New Roman" w:cs="Times New Roman"/>
            <w:color w:val="0089E1"/>
            <w:sz w:val="24"/>
            <w:szCs w:val="24"/>
            <w:lang w:eastAsia="es-CO"/>
          </w:rPr>
          <w:t>383</w:t>
        </w:r>
      </w:hyperlink>
      <w:r w:rsidRPr="006A7265">
        <w:rPr>
          <w:rFonts w:ascii="Times New Roman" w:eastAsia="Times New Roman" w:hAnsi="Times New Roman" w:cs="Times New Roman"/>
          <w:sz w:val="24"/>
          <w:szCs w:val="24"/>
          <w:lang w:eastAsia="es-CO"/>
        </w:rPr>
        <w:t xml:space="preserve">, </w:t>
      </w:r>
      <w:hyperlink r:id="rId9" w:tooltip="Estatuto Tributario CETA" w:history="1">
        <w:r w:rsidRPr="006A7265">
          <w:rPr>
            <w:rFonts w:ascii="Times New Roman" w:eastAsia="Times New Roman" w:hAnsi="Times New Roman" w:cs="Times New Roman"/>
            <w:color w:val="0089E1"/>
            <w:sz w:val="24"/>
            <w:szCs w:val="24"/>
            <w:lang w:eastAsia="es-CO"/>
          </w:rPr>
          <w:t>384</w:t>
        </w:r>
      </w:hyperlink>
      <w:r w:rsidRPr="006A7265">
        <w:rPr>
          <w:rFonts w:ascii="Times New Roman" w:eastAsia="Times New Roman" w:hAnsi="Times New Roman" w:cs="Times New Roman"/>
          <w:sz w:val="24"/>
          <w:szCs w:val="24"/>
          <w:lang w:eastAsia="es-CO"/>
        </w:rPr>
        <w:t xml:space="preserve"> y </w:t>
      </w:r>
      <w:hyperlink r:id="rId10" w:tooltip="Estatuto Tributario CETA" w:history="1">
        <w:r w:rsidRPr="006A7265">
          <w:rPr>
            <w:rFonts w:ascii="Times New Roman" w:eastAsia="Times New Roman" w:hAnsi="Times New Roman" w:cs="Times New Roman"/>
            <w:color w:val="0089E1"/>
            <w:sz w:val="24"/>
            <w:szCs w:val="24"/>
            <w:lang w:eastAsia="es-CO"/>
          </w:rPr>
          <w:t>387</w:t>
        </w:r>
      </w:hyperlink>
    </w:p>
    <w:p w:rsidR="006A7265" w:rsidRPr="006A7265" w:rsidRDefault="006A7265" w:rsidP="006A7265">
      <w:pPr>
        <w:spacing w:after="0" w:line="240" w:lineRule="auto"/>
        <w:jc w:val="both"/>
        <w:rPr>
          <w:rFonts w:ascii="Times New Roman" w:eastAsia="Times New Roman" w:hAnsi="Times New Roman" w:cs="Times New Roman"/>
          <w:sz w:val="24"/>
          <w:szCs w:val="24"/>
          <w:lang w:eastAsia="es-CO"/>
        </w:rPr>
      </w:pPr>
      <w:r w:rsidRPr="006A7265">
        <w:rPr>
          <w:rFonts w:ascii="Times New Roman" w:eastAsia="Times New Roman" w:hAnsi="Times New Roman" w:cs="Times New Roman"/>
          <w:sz w:val="24"/>
          <w:szCs w:val="24"/>
          <w:lang w:eastAsia="es-CO"/>
        </w:rPr>
        <w:t>Decreto Reglamentario 260 de 2001</w:t>
      </w:r>
    </w:p>
    <w:p w:rsidR="006A7265" w:rsidRPr="006A7265" w:rsidRDefault="006A7265" w:rsidP="006A7265">
      <w:pPr>
        <w:spacing w:after="0" w:line="240" w:lineRule="auto"/>
        <w:jc w:val="both"/>
        <w:rPr>
          <w:rFonts w:ascii="Times New Roman" w:eastAsia="Times New Roman" w:hAnsi="Times New Roman" w:cs="Times New Roman"/>
          <w:sz w:val="24"/>
          <w:szCs w:val="24"/>
          <w:lang w:eastAsia="es-CO"/>
        </w:rPr>
      </w:pPr>
      <w:r w:rsidRPr="006A7265">
        <w:rPr>
          <w:rFonts w:ascii="Times New Roman" w:eastAsia="Times New Roman" w:hAnsi="Times New Roman" w:cs="Times New Roman"/>
          <w:sz w:val="24"/>
          <w:szCs w:val="24"/>
          <w:lang w:eastAsia="es-CO"/>
        </w:rPr>
        <w:t>Decreto Reglamentario 2271 de 2009, artículo 4°</w:t>
      </w:r>
    </w:p>
    <w:p w:rsidR="006A7265" w:rsidRPr="006A7265" w:rsidRDefault="006A7265" w:rsidP="006A7265">
      <w:pPr>
        <w:spacing w:after="0" w:line="240" w:lineRule="auto"/>
        <w:jc w:val="both"/>
        <w:rPr>
          <w:rFonts w:ascii="Times New Roman" w:eastAsia="Times New Roman" w:hAnsi="Times New Roman" w:cs="Times New Roman"/>
          <w:sz w:val="24"/>
          <w:szCs w:val="24"/>
          <w:lang w:eastAsia="es-CO"/>
        </w:rPr>
      </w:pPr>
      <w:r w:rsidRPr="006A7265">
        <w:rPr>
          <w:rFonts w:ascii="Times New Roman" w:eastAsia="Times New Roman" w:hAnsi="Times New Roman" w:cs="Times New Roman"/>
          <w:sz w:val="24"/>
          <w:szCs w:val="24"/>
          <w:lang w:eastAsia="es-CO"/>
        </w:rPr>
        <w:t>Decreto Reglamentario 2499 de 2012</w:t>
      </w:r>
    </w:p>
    <w:p w:rsidR="006A7265" w:rsidRPr="006A7265" w:rsidRDefault="006A7265" w:rsidP="006A7265">
      <w:pPr>
        <w:spacing w:after="0" w:line="240" w:lineRule="auto"/>
        <w:jc w:val="both"/>
        <w:rPr>
          <w:rFonts w:ascii="Times New Roman" w:eastAsia="Times New Roman" w:hAnsi="Times New Roman" w:cs="Times New Roman"/>
          <w:sz w:val="24"/>
          <w:szCs w:val="24"/>
          <w:lang w:eastAsia="es-CO"/>
        </w:rPr>
      </w:pPr>
      <w:r w:rsidRPr="006A7265">
        <w:rPr>
          <w:rFonts w:ascii="Times New Roman" w:eastAsia="Times New Roman" w:hAnsi="Times New Roman" w:cs="Times New Roman"/>
          <w:sz w:val="24"/>
          <w:szCs w:val="24"/>
          <w:lang w:eastAsia="es-CO"/>
        </w:rPr>
        <w:t>Decreto Reglamentario 0099 de 2013</w:t>
      </w:r>
    </w:p>
    <w:p w:rsidR="006A7265" w:rsidRPr="006A7265" w:rsidRDefault="006A7265" w:rsidP="006A7265">
      <w:pPr>
        <w:spacing w:after="0" w:line="240" w:lineRule="auto"/>
        <w:jc w:val="both"/>
        <w:rPr>
          <w:rFonts w:ascii="Times New Roman" w:eastAsia="Times New Roman" w:hAnsi="Times New Roman" w:cs="Times New Roman"/>
          <w:sz w:val="24"/>
          <w:szCs w:val="24"/>
          <w:lang w:eastAsia="es-CO"/>
        </w:rPr>
      </w:pPr>
    </w:p>
    <w:p w:rsidR="006A7265" w:rsidRPr="006A7265" w:rsidRDefault="006A7265" w:rsidP="006A7265">
      <w:pPr>
        <w:spacing w:after="0" w:line="240" w:lineRule="auto"/>
        <w:jc w:val="both"/>
        <w:rPr>
          <w:rFonts w:ascii="Times New Roman" w:eastAsia="Times New Roman" w:hAnsi="Times New Roman" w:cs="Times New Roman"/>
          <w:sz w:val="24"/>
          <w:szCs w:val="24"/>
          <w:lang w:eastAsia="es-CO"/>
        </w:rPr>
      </w:pPr>
    </w:p>
    <w:p w:rsidR="006A7265" w:rsidRPr="006A7265" w:rsidRDefault="006A7265" w:rsidP="006A7265">
      <w:pPr>
        <w:spacing w:after="0" w:line="240" w:lineRule="auto"/>
        <w:jc w:val="both"/>
        <w:rPr>
          <w:rFonts w:ascii="Times New Roman" w:eastAsia="Times New Roman" w:hAnsi="Times New Roman" w:cs="Times New Roman"/>
          <w:sz w:val="24"/>
          <w:szCs w:val="24"/>
          <w:lang w:eastAsia="es-CO"/>
        </w:rPr>
      </w:pPr>
      <w:r w:rsidRPr="006A7265">
        <w:rPr>
          <w:rFonts w:ascii="Times New Roman" w:eastAsia="Times New Roman" w:hAnsi="Times New Roman" w:cs="Times New Roman"/>
          <w:sz w:val="24"/>
          <w:szCs w:val="24"/>
          <w:lang w:eastAsia="es-CO"/>
        </w:rPr>
        <w:t xml:space="preserve">Cordial saludo doctora Liza </w:t>
      </w:r>
      <w:proofErr w:type="spellStart"/>
      <w:r w:rsidRPr="006A7265">
        <w:rPr>
          <w:rFonts w:ascii="Times New Roman" w:eastAsia="Times New Roman" w:hAnsi="Times New Roman" w:cs="Times New Roman"/>
          <w:sz w:val="24"/>
          <w:szCs w:val="24"/>
          <w:lang w:eastAsia="es-CO"/>
        </w:rPr>
        <w:t>Minelly</w:t>
      </w:r>
      <w:proofErr w:type="spellEnd"/>
      <w:r w:rsidRPr="006A7265">
        <w:rPr>
          <w:rFonts w:ascii="Times New Roman" w:eastAsia="Times New Roman" w:hAnsi="Times New Roman" w:cs="Times New Roman"/>
          <w:sz w:val="24"/>
          <w:szCs w:val="24"/>
          <w:lang w:eastAsia="es-CO"/>
        </w:rPr>
        <w:t>.</w:t>
      </w:r>
    </w:p>
    <w:p w:rsidR="006A7265" w:rsidRPr="006A7265" w:rsidRDefault="006A7265" w:rsidP="006A7265">
      <w:pPr>
        <w:spacing w:after="0" w:line="240" w:lineRule="auto"/>
        <w:jc w:val="both"/>
        <w:rPr>
          <w:rFonts w:ascii="Times New Roman" w:eastAsia="Times New Roman" w:hAnsi="Times New Roman" w:cs="Times New Roman"/>
          <w:sz w:val="24"/>
          <w:szCs w:val="24"/>
          <w:lang w:eastAsia="es-CO"/>
        </w:rPr>
      </w:pPr>
    </w:p>
    <w:p w:rsidR="006A7265" w:rsidRPr="006A7265" w:rsidRDefault="006A7265" w:rsidP="006A7265">
      <w:pPr>
        <w:spacing w:after="0" w:line="240" w:lineRule="auto"/>
        <w:jc w:val="both"/>
        <w:rPr>
          <w:rFonts w:ascii="Times New Roman" w:eastAsia="Times New Roman" w:hAnsi="Times New Roman" w:cs="Times New Roman"/>
          <w:sz w:val="24"/>
          <w:szCs w:val="24"/>
          <w:lang w:eastAsia="es-CO"/>
        </w:rPr>
      </w:pPr>
      <w:r w:rsidRPr="006A7265">
        <w:rPr>
          <w:rFonts w:ascii="Times New Roman" w:eastAsia="Times New Roman" w:hAnsi="Times New Roman" w:cs="Times New Roman"/>
          <w:sz w:val="24"/>
          <w:szCs w:val="24"/>
          <w:lang w:eastAsia="es-CO"/>
        </w:rPr>
        <w:t>De conformidad con lo dispuesto en el artículo 19 del Decreto 4048 de 2008 y la Orden Administrativa número 000006 de 2009, este Despacho está facultado para absolver las consultas que se formulen sobre la interpretación y aplicación de las normas tributarias, aduaneras y cambiarias del orden nacional, en lo de competencia de la Dirección de Impuestos y Aduanas Nacionales.</w:t>
      </w:r>
    </w:p>
    <w:p w:rsidR="006A7265" w:rsidRPr="006A7265" w:rsidRDefault="006A7265" w:rsidP="006A7265">
      <w:pPr>
        <w:spacing w:after="0" w:line="240" w:lineRule="auto"/>
        <w:jc w:val="both"/>
        <w:rPr>
          <w:rFonts w:ascii="Times New Roman" w:eastAsia="Times New Roman" w:hAnsi="Times New Roman" w:cs="Times New Roman"/>
          <w:sz w:val="24"/>
          <w:szCs w:val="24"/>
          <w:lang w:eastAsia="es-CO"/>
        </w:rPr>
      </w:pPr>
    </w:p>
    <w:p w:rsidR="006A7265" w:rsidRPr="006A7265" w:rsidRDefault="006A7265" w:rsidP="006A7265">
      <w:pPr>
        <w:spacing w:after="0" w:line="240" w:lineRule="auto"/>
        <w:jc w:val="both"/>
        <w:rPr>
          <w:rFonts w:ascii="Times New Roman" w:eastAsia="Times New Roman" w:hAnsi="Times New Roman" w:cs="Times New Roman"/>
          <w:sz w:val="24"/>
          <w:szCs w:val="24"/>
          <w:lang w:eastAsia="es-CO"/>
        </w:rPr>
      </w:pPr>
      <w:r w:rsidRPr="006A7265">
        <w:rPr>
          <w:rFonts w:ascii="Times New Roman" w:eastAsia="Times New Roman" w:hAnsi="Times New Roman" w:cs="Times New Roman"/>
          <w:sz w:val="24"/>
          <w:szCs w:val="24"/>
          <w:lang w:eastAsia="es-CO"/>
        </w:rPr>
        <w:t>Consulta si a los contratistas declarantes de renta que prestan servicios personales en el desarrollo e implementación de software, que clasifican en la categoría de empleados se les continúa aplicando la tarifa de retención en la fuente prevista en el artículo 1° del Decreto 2499 de 2012.</w:t>
      </w:r>
    </w:p>
    <w:p w:rsidR="006A7265" w:rsidRPr="006A7265" w:rsidRDefault="006A7265" w:rsidP="006A7265">
      <w:pPr>
        <w:spacing w:after="0" w:line="240" w:lineRule="auto"/>
        <w:jc w:val="both"/>
        <w:rPr>
          <w:rFonts w:ascii="Times New Roman" w:eastAsia="Times New Roman" w:hAnsi="Times New Roman" w:cs="Times New Roman"/>
          <w:sz w:val="24"/>
          <w:szCs w:val="24"/>
          <w:lang w:eastAsia="es-CO"/>
        </w:rPr>
      </w:pPr>
    </w:p>
    <w:p w:rsidR="006A7265" w:rsidRPr="006A7265" w:rsidRDefault="006A7265" w:rsidP="006A7265">
      <w:pPr>
        <w:spacing w:after="0" w:line="240" w:lineRule="auto"/>
        <w:jc w:val="both"/>
        <w:rPr>
          <w:rFonts w:ascii="Times New Roman" w:eastAsia="Times New Roman" w:hAnsi="Times New Roman" w:cs="Times New Roman"/>
          <w:sz w:val="24"/>
          <w:szCs w:val="24"/>
          <w:lang w:eastAsia="es-CO"/>
        </w:rPr>
      </w:pPr>
      <w:r w:rsidRPr="006A7265">
        <w:rPr>
          <w:rFonts w:ascii="Times New Roman" w:eastAsia="Times New Roman" w:hAnsi="Times New Roman" w:cs="Times New Roman"/>
          <w:sz w:val="24"/>
          <w:szCs w:val="24"/>
          <w:lang w:eastAsia="es-CO"/>
        </w:rPr>
        <w:t>Comedidamente le informamos, que este Despacho se pronunció mediante Oficio número 017857 del 26 de marzo de 2013, sobre las categorías tributarias en que se clasifican las personas naturales residentes en el país y sobre el régimen de retención en la fuente aplicable, con fundamento en las modificaciones introducidas al Estatuto Tributario por la Ley 1607 de 2012 reglamentado parcialmente por el Decreto 00099 de 2013.</w:t>
      </w:r>
    </w:p>
    <w:p w:rsidR="006A7265" w:rsidRPr="006A7265" w:rsidRDefault="006A7265" w:rsidP="006A7265">
      <w:pPr>
        <w:spacing w:after="0" w:line="240" w:lineRule="auto"/>
        <w:jc w:val="both"/>
        <w:rPr>
          <w:rFonts w:ascii="Times New Roman" w:eastAsia="Times New Roman" w:hAnsi="Times New Roman" w:cs="Times New Roman"/>
          <w:sz w:val="24"/>
          <w:szCs w:val="24"/>
          <w:lang w:eastAsia="es-CO"/>
        </w:rPr>
      </w:pPr>
    </w:p>
    <w:p w:rsidR="006A7265" w:rsidRPr="006A7265" w:rsidRDefault="006A7265" w:rsidP="006A7265">
      <w:pPr>
        <w:spacing w:after="0" w:line="240" w:lineRule="auto"/>
        <w:jc w:val="both"/>
        <w:rPr>
          <w:rFonts w:ascii="Times New Roman" w:eastAsia="Times New Roman" w:hAnsi="Times New Roman" w:cs="Times New Roman"/>
          <w:sz w:val="24"/>
          <w:szCs w:val="24"/>
          <w:lang w:eastAsia="es-CO"/>
        </w:rPr>
      </w:pPr>
      <w:r w:rsidRPr="006A7265">
        <w:rPr>
          <w:rFonts w:ascii="Times New Roman" w:eastAsia="Times New Roman" w:hAnsi="Times New Roman" w:cs="Times New Roman"/>
          <w:sz w:val="24"/>
          <w:szCs w:val="24"/>
          <w:lang w:eastAsia="es-CO"/>
        </w:rPr>
        <w:lastRenderedPageBreak/>
        <w:t>En dicho pronunciamiento doctrinal, se señala:</w:t>
      </w:r>
    </w:p>
    <w:p w:rsidR="006A7265" w:rsidRPr="006A7265" w:rsidRDefault="006A7265" w:rsidP="006A7265">
      <w:pPr>
        <w:spacing w:after="0" w:line="240" w:lineRule="auto"/>
        <w:ind w:left="284"/>
        <w:jc w:val="both"/>
        <w:rPr>
          <w:rFonts w:ascii="Times New Roman" w:eastAsia="Times New Roman" w:hAnsi="Times New Roman" w:cs="Times New Roman"/>
          <w:i/>
          <w:iCs/>
          <w:sz w:val="24"/>
          <w:szCs w:val="24"/>
          <w:lang w:eastAsia="es-CO"/>
        </w:rPr>
      </w:pPr>
    </w:p>
    <w:p w:rsidR="006A7265" w:rsidRPr="006A7265" w:rsidRDefault="006A7265" w:rsidP="006A7265">
      <w:pPr>
        <w:spacing w:after="0" w:line="240" w:lineRule="auto"/>
        <w:ind w:left="284"/>
        <w:jc w:val="both"/>
        <w:rPr>
          <w:rFonts w:ascii="Times New Roman" w:eastAsia="Times New Roman" w:hAnsi="Times New Roman" w:cs="Times New Roman"/>
          <w:sz w:val="24"/>
          <w:szCs w:val="24"/>
          <w:lang w:eastAsia="es-CO"/>
        </w:rPr>
      </w:pPr>
      <w:r w:rsidRPr="006A7265">
        <w:rPr>
          <w:rFonts w:ascii="Times New Roman" w:eastAsia="Times New Roman" w:hAnsi="Times New Roman" w:cs="Times New Roman"/>
          <w:i/>
          <w:iCs/>
          <w:sz w:val="24"/>
          <w:szCs w:val="24"/>
          <w:lang w:eastAsia="es-CO"/>
        </w:rPr>
        <w:t>“...</w:t>
      </w:r>
    </w:p>
    <w:p w:rsidR="006A7265" w:rsidRPr="006A7265" w:rsidRDefault="006A7265" w:rsidP="006A7265">
      <w:pPr>
        <w:spacing w:after="0" w:line="240" w:lineRule="auto"/>
        <w:ind w:left="284"/>
        <w:jc w:val="both"/>
        <w:rPr>
          <w:rFonts w:ascii="Times New Roman" w:eastAsia="Times New Roman" w:hAnsi="Times New Roman" w:cs="Times New Roman"/>
          <w:sz w:val="24"/>
          <w:szCs w:val="24"/>
          <w:lang w:eastAsia="es-CO"/>
        </w:rPr>
      </w:pPr>
      <w:r w:rsidRPr="006A7265">
        <w:rPr>
          <w:rFonts w:ascii="Times New Roman" w:eastAsia="Times New Roman" w:hAnsi="Times New Roman" w:cs="Times New Roman"/>
          <w:i/>
          <w:iCs/>
          <w:sz w:val="24"/>
          <w:szCs w:val="24"/>
          <w:lang w:eastAsia="es-CO"/>
        </w:rPr>
        <w:t xml:space="preserve">De conformidad con el </w:t>
      </w:r>
      <w:hyperlink r:id="rId11" w:tooltip="Estatuto Tributario CETA" w:history="1">
        <w:r w:rsidRPr="006A7265">
          <w:rPr>
            <w:rFonts w:ascii="Times New Roman" w:eastAsia="Times New Roman" w:hAnsi="Times New Roman" w:cs="Times New Roman"/>
            <w:i/>
            <w:iCs/>
            <w:color w:val="0089E1"/>
            <w:sz w:val="24"/>
            <w:szCs w:val="24"/>
            <w:lang w:eastAsia="es-CO"/>
          </w:rPr>
          <w:t>artículo 329</w:t>
        </w:r>
      </w:hyperlink>
      <w:r w:rsidRPr="006A7265">
        <w:rPr>
          <w:rFonts w:ascii="Times New Roman" w:eastAsia="Times New Roman" w:hAnsi="Times New Roman" w:cs="Times New Roman"/>
          <w:i/>
          <w:iCs/>
          <w:sz w:val="24"/>
          <w:szCs w:val="24"/>
          <w:lang w:eastAsia="es-CO"/>
        </w:rPr>
        <w:t xml:space="preserve"> del Estatuto Tributario, las personas naturales residentes en el país se clasifican en una de las siguientes categorías tributarias: empleado, trabajador por cuenta propia y otros contribuyentes.</w:t>
      </w:r>
    </w:p>
    <w:p w:rsidR="006A7265" w:rsidRPr="006A7265" w:rsidRDefault="006A7265" w:rsidP="006A7265">
      <w:pPr>
        <w:spacing w:after="0" w:line="240" w:lineRule="auto"/>
        <w:ind w:left="284"/>
        <w:jc w:val="both"/>
        <w:rPr>
          <w:rFonts w:ascii="Times New Roman" w:eastAsia="Times New Roman" w:hAnsi="Times New Roman" w:cs="Times New Roman"/>
          <w:i/>
          <w:iCs/>
          <w:sz w:val="24"/>
          <w:szCs w:val="24"/>
          <w:lang w:eastAsia="es-CO"/>
        </w:rPr>
      </w:pPr>
    </w:p>
    <w:p w:rsidR="006A7265" w:rsidRPr="006A7265" w:rsidRDefault="006A7265" w:rsidP="006A7265">
      <w:pPr>
        <w:spacing w:after="0" w:line="240" w:lineRule="auto"/>
        <w:ind w:left="284"/>
        <w:jc w:val="both"/>
        <w:rPr>
          <w:rFonts w:ascii="Times New Roman" w:eastAsia="Times New Roman" w:hAnsi="Times New Roman" w:cs="Times New Roman"/>
          <w:sz w:val="24"/>
          <w:szCs w:val="24"/>
          <w:lang w:eastAsia="es-CO"/>
        </w:rPr>
      </w:pPr>
      <w:r w:rsidRPr="006A7265">
        <w:rPr>
          <w:rFonts w:ascii="Times New Roman" w:eastAsia="Times New Roman" w:hAnsi="Times New Roman" w:cs="Times New Roman"/>
          <w:i/>
          <w:iCs/>
          <w:sz w:val="24"/>
          <w:szCs w:val="24"/>
          <w:lang w:eastAsia="es-CO"/>
        </w:rPr>
        <w:t>1. Empleado</w:t>
      </w:r>
    </w:p>
    <w:p w:rsidR="006A7265" w:rsidRPr="006A7265" w:rsidRDefault="006A7265" w:rsidP="006A7265">
      <w:pPr>
        <w:spacing w:after="0" w:line="240" w:lineRule="auto"/>
        <w:ind w:left="284"/>
        <w:jc w:val="both"/>
        <w:rPr>
          <w:rFonts w:ascii="Times New Roman" w:eastAsia="Times New Roman" w:hAnsi="Times New Roman" w:cs="Times New Roman"/>
          <w:i/>
          <w:iCs/>
          <w:sz w:val="24"/>
          <w:szCs w:val="24"/>
          <w:lang w:eastAsia="es-CO"/>
        </w:rPr>
      </w:pPr>
    </w:p>
    <w:p w:rsidR="006A7265" w:rsidRPr="006A7265" w:rsidRDefault="006A7265" w:rsidP="006A7265">
      <w:pPr>
        <w:spacing w:after="0" w:line="240" w:lineRule="auto"/>
        <w:ind w:left="284"/>
        <w:jc w:val="both"/>
        <w:rPr>
          <w:rFonts w:ascii="Times New Roman" w:eastAsia="Times New Roman" w:hAnsi="Times New Roman" w:cs="Times New Roman"/>
          <w:sz w:val="24"/>
          <w:szCs w:val="24"/>
          <w:lang w:eastAsia="es-CO"/>
        </w:rPr>
      </w:pPr>
      <w:r w:rsidRPr="006A7265">
        <w:rPr>
          <w:rFonts w:ascii="Times New Roman" w:eastAsia="Times New Roman" w:hAnsi="Times New Roman" w:cs="Times New Roman"/>
          <w:i/>
          <w:iCs/>
          <w:sz w:val="24"/>
          <w:szCs w:val="24"/>
          <w:lang w:eastAsia="es-CO"/>
        </w:rPr>
        <w:t>Es la persona natural residente en el país, cuyos ingresos provienen en un ochenta por ciento (80%) o más, de la prestación de servicios de manera personal o de la realización de una actividad económica por cuenta y riesgo del empleador o contratante, mediante una vinculación laboral o legal y reglamentaria y/o de cualquier otra naturaleza, independientemente de su denominación.</w:t>
      </w:r>
    </w:p>
    <w:p w:rsidR="006A7265" w:rsidRPr="006A7265" w:rsidRDefault="006A7265" w:rsidP="006A7265">
      <w:pPr>
        <w:spacing w:after="0" w:line="240" w:lineRule="auto"/>
        <w:ind w:left="284"/>
        <w:jc w:val="both"/>
        <w:rPr>
          <w:rFonts w:ascii="Times New Roman" w:eastAsia="Times New Roman" w:hAnsi="Times New Roman" w:cs="Times New Roman"/>
          <w:i/>
          <w:iCs/>
          <w:sz w:val="24"/>
          <w:szCs w:val="24"/>
          <w:lang w:eastAsia="es-CO"/>
        </w:rPr>
      </w:pPr>
    </w:p>
    <w:p w:rsidR="006A7265" w:rsidRPr="006A7265" w:rsidRDefault="006A7265" w:rsidP="006A7265">
      <w:pPr>
        <w:spacing w:after="0" w:line="240" w:lineRule="auto"/>
        <w:ind w:left="284"/>
        <w:jc w:val="both"/>
        <w:rPr>
          <w:rFonts w:ascii="Times New Roman" w:eastAsia="Times New Roman" w:hAnsi="Times New Roman" w:cs="Times New Roman"/>
          <w:i/>
          <w:iCs/>
          <w:sz w:val="24"/>
          <w:szCs w:val="24"/>
          <w:lang w:eastAsia="es-CO"/>
        </w:rPr>
      </w:pPr>
      <w:r w:rsidRPr="006A7265">
        <w:rPr>
          <w:rFonts w:ascii="Times New Roman" w:eastAsia="Times New Roman" w:hAnsi="Times New Roman" w:cs="Times New Roman"/>
          <w:i/>
          <w:iCs/>
          <w:sz w:val="24"/>
          <w:szCs w:val="24"/>
          <w:lang w:eastAsia="es-CO"/>
        </w:rPr>
        <w:t>Igualmente pertenecen a la categoría de empleado las personas naturales residentes en el país que presten servicios en ejercicio de profesiones liberales o que presten servicios técnicos que no requieran la utilización de materiales o insumos especializados o de maquinaria especializada, siempre que el ochenta por ciento (80%) o más de sus ingresos provengan del ejercicio de dicha actividad.</w:t>
      </w:r>
    </w:p>
    <w:p w:rsidR="006A7265" w:rsidRPr="006A7265" w:rsidRDefault="006A7265" w:rsidP="006A7265">
      <w:pPr>
        <w:spacing w:after="0" w:line="240" w:lineRule="auto"/>
        <w:ind w:left="284"/>
        <w:jc w:val="both"/>
        <w:rPr>
          <w:rFonts w:ascii="Times New Roman" w:eastAsia="Times New Roman" w:hAnsi="Times New Roman" w:cs="Times New Roman"/>
          <w:i/>
          <w:iCs/>
          <w:sz w:val="24"/>
          <w:szCs w:val="24"/>
          <w:lang w:eastAsia="es-CO"/>
        </w:rPr>
      </w:pPr>
    </w:p>
    <w:p w:rsidR="006A7265" w:rsidRPr="006A7265" w:rsidRDefault="006A7265" w:rsidP="006A7265">
      <w:pPr>
        <w:spacing w:after="0" w:line="240" w:lineRule="auto"/>
        <w:ind w:left="284"/>
        <w:jc w:val="both"/>
        <w:rPr>
          <w:rFonts w:ascii="Times New Roman" w:eastAsia="Times New Roman" w:hAnsi="Times New Roman" w:cs="Times New Roman"/>
          <w:sz w:val="24"/>
          <w:szCs w:val="24"/>
          <w:lang w:eastAsia="es-CO"/>
        </w:rPr>
      </w:pPr>
      <w:r w:rsidRPr="006A7265">
        <w:rPr>
          <w:rFonts w:ascii="Times New Roman" w:eastAsia="Times New Roman" w:hAnsi="Times New Roman" w:cs="Times New Roman"/>
          <w:i/>
          <w:iCs/>
          <w:sz w:val="24"/>
          <w:szCs w:val="24"/>
          <w:lang w:eastAsia="es-CO"/>
        </w:rPr>
        <w:t>2. Trabajador por cuenta propia</w:t>
      </w:r>
    </w:p>
    <w:p w:rsidR="006A7265" w:rsidRPr="006A7265" w:rsidRDefault="006A7265" w:rsidP="006A7265">
      <w:pPr>
        <w:spacing w:after="0" w:line="240" w:lineRule="auto"/>
        <w:ind w:left="284"/>
        <w:jc w:val="both"/>
        <w:rPr>
          <w:rFonts w:ascii="Times New Roman" w:eastAsia="Times New Roman" w:hAnsi="Times New Roman" w:cs="Times New Roman"/>
          <w:sz w:val="24"/>
          <w:szCs w:val="24"/>
          <w:lang w:eastAsia="es-CO"/>
        </w:rPr>
      </w:pPr>
      <w:r w:rsidRPr="006A7265">
        <w:rPr>
          <w:rFonts w:ascii="Times New Roman" w:eastAsia="Times New Roman" w:hAnsi="Times New Roman" w:cs="Times New Roman"/>
          <w:i/>
          <w:iCs/>
          <w:sz w:val="24"/>
          <w:szCs w:val="24"/>
          <w:lang w:eastAsia="es-CO"/>
        </w:rPr>
        <w:t>...</w:t>
      </w:r>
    </w:p>
    <w:p w:rsidR="006A7265" w:rsidRPr="006A7265" w:rsidRDefault="006A7265" w:rsidP="006A7265">
      <w:pPr>
        <w:spacing w:after="0" w:line="240" w:lineRule="auto"/>
        <w:ind w:left="284"/>
        <w:jc w:val="both"/>
        <w:rPr>
          <w:rFonts w:ascii="Times New Roman" w:eastAsia="Times New Roman" w:hAnsi="Times New Roman" w:cs="Times New Roman"/>
          <w:sz w:val="24"/>
          <w:szCs w:val="24"/>
          <w:lang w:eastAsia="es-CO"/>
        </w:rPr>
      </w:pPr>
      <w:r w:rsidRPr="006A7265">
        <w:rPr>
          <w:rFonts w:ascii="Times New Roman" w:eastAsia="Times New Roman" w:hAnsi="Times New Roman" w:cs="Times New Roman"/>
          <w:i/>
          <w:iCs/>
          <w:sz w:val="24"/>
          <w:szCs w:val="24"/>
          <w:lang w:eastAsia="es-CO"/>
        </w:rPr>
        <w:t>3. Otros contribuyentes</w:t>
      </w:r>
    </w:p>
    <w:p w:rsidR="006A7265" w:rsidRPr="006A7265" w:rsidRDefault="006A7265" w:rsidP="006A7265">
      <w:pPr>
        <w:spacing w:after="0" w:line="240" w:lineRule="auto"/>
        <w:ind w:left="284"/>
        <w:jc w:val="both"/>
        <w:rPr>
          <w:rFonts w:ascii="Times New Roman" w:eastAsia="Times New Roman" w:hAnsi="Times New Roman" w:cs="Times New Roman"/>
          <w:sz w:val="24"/>
          <w:szCs w:val="24"/>
          <w:lang w:eastAsia="es-CO"/>
        </w:rPr>
      </w:pPr>
      <w:r w:rsidRPr="006A7265">
        <w:rPr>
          <w:rFonts w:ascii="Times New Roman" w:eastAsia="Times New Roman" w:hAnsi="Times New Roman" w:cs="Times New Roman"/>
          <w:i/>
          <w:iCs/>
          <w:sz w:val="24"/>
          <w:szCs w:val="24"/>
          <w:lang w:eastAsia="es-CO"/>
        </w:rPr>
        <w:t>...</w:t>
      </w:r>
    </w:p>
    <w:p w:rsidR="006A7265" w:rsidRPr="006A7265" w:rsidRDefault="006A7265" w:rsidP="006A7265">
      <w:pPr>
        <w:spacing w:after="0" w:line="240" w:lineRule="auto"/>
        <w:ind w:left="284"/>
        <w:jc w:val="both"/>
        <w:rPr>
          <w:rFonts w:ascii="Times New Roman" w:eastAsia="Times New Roman" w:hAnsi="Times New Roman" w:cs="Times New Roman"/>
          <w:i/>
          <w:iCs/>
          <w:sz w:val="24"/>
          <w:szCs w:val="24"/>
          <w:u w:val="single"/>
          <w:lang w:eastAsia="es-CO"/>
        </w:rPr>
      </w:pPr>
      <w:r w:rsidRPr="006A7265">
        <w:rPr>
          <w:rFonts w:ascii="Times New Roman" w:eastAsia="Times New Roman" w:hAnsi="Times New Roman" w:cs="Times New Roman"/>
          <w:i/>
          <w:iCs/>
          <w:sz w:val="24"/>
          <w:szCs w:val="24"/>
          <w:u w:val="single"/>
          <w:lang w:eastAsia="es-CO"/>
        </w:rPr>
        <w:t xml:space="preserve">En materia de retención en la fuente por concepto de rentas de trabajo, con base en la interpretación armónica de los artículos </w:t>
      </w:r>
      <w:hyperlink r:id="rId12" w:tooltip="Estatuto Tributario CETA" w:history="1">
        <w:r w:rsidRPr="006A7265">
          <w:rPr>
            <w:rFonts w:ascii="Times New Roman" w:eastAsia="Times New Roman" w:hAnsi="Times New Roman" w:cs="Times New Roman"/>
            <w:i/>
            <w:iCs/>
            <w:color w:val="0089E1"/>
            <w:sz w:val="24"/>
            <w:szCs w:val="24"/>
            <w:lang w:eastAsia="es-CO"/>
          </w:rPr>
          <w:t>383</w:t>
        </w:r>
      </w:hyperlink>
      <w:r w:rsidRPr="006A7265">
        <w:rPr>
          <w:rFonts w:ascii="Times New Roman" w:eastAsia="Times New Roman" w:hAnsi="Times New Roman" w:cs="Times New Roman"/>
          <w:i/>
          <w:iCs/>
          <w:sz w:val="24"/>
          <w:szCs w:val="24"/>
          <w:u w:val="single"/>
          <w:lang w:eastAsia="es-CO"/>
        </w:rPr>
        <w:t xml:space="preserve"> y </w:t>
      </w:r>
      <w:hyperlink r:id="rId13" w:tooltip="Estatuto Tributario CETA" w:history="1">
        <w:r w:rsidRPr="006A7265">
          <w:rPr>
            <w:rFonts w:ascii="Times New Roman" w:eastAsia="Times New Roman" w:hAnsi="Times New Roman" w:cs="Times New Roman"/>
            <w:i/>
            <w:iCs/>
            <w:color w:val="0089E1"/>
            <w:sz w:val="24"/>
            <w:szCs w:val="24"/>
            <w:lang w:eastAsia="es-CO"/>
          </w:rPr>
          <w:t>384</w:t>
        </w:r>
      </w:hyperlink>
      <w:r w:rsidRPr="006A7265">
        <w:rPr>
          <w:rFonts w:ascii="Times New Roman" w:eastAsia="Times New Roman" w:hAnsi="Times New Roman" w:cs="Times New Roman"/>
          <w:i/>
          <w:iCs/>
          <w:sz w:val="24"/>
          <w:szCs w:val="24"/>
          <w:u w:val="single"/>
          <w:lang w:eastAsia="es-CO"/>
        </w:rPr>
        <w:t xml:space="preserve"> del Estatuto Tributario y del Decreto Reglamentario 00099 de 2013, se coligen las siguientes reglas:</w:t>
      </w:r>
    </w:p>
    <w:p w:rsidR="006A7265" w:rsidRPr="006A7265" w:rsidRDefault="006A7265" w:rsidP="006A7265">
      <w:pPr>
        <w:spacing w:after="0" w:line="240" w:lineRule="auto"/>
        <w:ind w:left="284"/>
        <w:jc w:val="both"/>
        <w:rPr>
          <w:rFonts w:ascii="Times New Roman" w:eastAsia="Times New Roman" w:hAnsi="Times New Roman" w:cs="Times New Roman"/>
          <w:sz w:val="24"/>
          <w:szCs w:val="24"/>
          <w:lang w:eastAsia="es-CO"/>
        </w:rPr>
      </w:pPr>
    </w:p>
    <w:p w:rsidR="006A7265" w:rsidRPr="006A7265" w:rsidRDefault="006A7265" w:rsidP="006A7265">
      <w:pPr>
        <w:spacing w:after="0" w:line="240" w:lineRule="auto"/>
        <w:ind w:left="284"/>
        <w:jc w:val="both"/>
        <w:rPr>
          <w:rFonts w:ascii="Times New Roman" w:eastAsia="Times New Roman" w:hAnsi="Times New Roman" w:cs="Times New Roman"/>
          <w:i/>
          <w:iCs/>
          <w:sz w:val="24"/>
          <w:szCs w:val="24"/>
          <w:u w:val="single"/>
          <w:lang w:eastAsia="es-CO"/>
        </w:rPr>
      </w:pPr>
      <w:r w:rsidRPr="006A7265">
        <w:rPr>
          <w:rFonts w:ascii="Times New Roman" w:eastAsia="Times New Roman" w:hAnsi="Times New Roman" w:cs="Times New Roman"/>
          <w:i/>
          <w:iCs/>
          <w:sz w:val="24"/>
          <w:szCs w:val="24"/>
          <w:u w:val="single"/>
          <w:lang w:eastAsia="es-CO"/>
        </w:rPr>
        <w:t>1. Retención en la fuente para personas naturales pertenecientes a la categoría de empleados.</w:t>
      </w:r>
    </w:p>
    <w:p w:rsidR="006A7265" w:rsidRPr="006A7265" w:rsidRDefault="006A7265" w:rsidP="006A7265">
      <w:pPr>
        <w:spacing w:after="0" w:line="240" w:lineRule="auto"/>
        <w:ind w:left="284"/>
        <w:jc w:val="both"/>
        <w:rPr>
          <w:rFonts w:ascii="Times New Roman" w:eastAsia="Times New Roman" w:hAnsi="Times New Roman" w:cs="Times New Roman"/>
          <w:sz w:val="24"/>
          <w:szCs w:val="24"/>
          <w:lang w:eastAsia="es-CO"/>
        </w:rPr>
      </w:pPr>
    </w:p>
    <w:p w:rsidR="006A7265" w:rsidRPr="006A7265" w:rsidRDefault="006A7265" w:rsidP="006A7265">
      <w:pPr>
        <w:spacing w:after="0" w:line="240" w:lineRule="auto"/>
        <w:ind w:left="284"/>
        <w:jc w:val="both"/>
        <w:rPr>
          <w:rFonts w:ascii="Times New Roman" w:eastAsia="Times New Roman" w:hAnsi="Times New Roman" w:cs="Times New Roman"/>
          <w:sz w:val="24"/>
          <w:szCs w:val="24"/>
          <w:lang w:eastAsia="es-CO"/>
        </w:rPr>
      </w:pPr>
      <w:r w:rsidRPr="006A7265">
        <w:rPr>
          <w:rFonts w:ascii="Times New Roman" w:eastAsia="Times New Roman" w:hAnsi="Times New Roman" w:cs="Times New Roman"/>
          <w:i/>
          <w:iCs/>
          <w:sz w:val="24"/>
          <w:szCs w:val="24"/>
          <w:lang w:eastAsia="es-CO"/>
        </w:rPr>
        <w:t xml:space="preserve">A los pagos o abonos en cuenta efectuados a las personas naturales residentes en el país, pertenecientes a la categoría de empleados les aplica a partir del 1° de enero de 2013, la tabla de retención en la fuente contenida en el </w:t>
      </w:r>
      <w:hyperlink r:id="rId14" w:tooltip="Estatuto Tributario CETA" w:history="1">
        <w:r w:rsidRPr="006A7265">
          <w:rPr>
            <w:rFonts w:ascii="Times New Roman" w:eastAsia="Times New Roman" w:hAnsi="Times New Roman" w:cs="Times New Roman"/>
            <w:i/>
            <w:iCs/>
            <w:color w:val="0089E1"/>
            <w:sz w:val="24"/>
            <w:szCs w:val="24"/>
            <w:lang w:eastAsia="es-CO"/>
          </w:rPr>
          <w:t>artículo 383</w:t>
        </w:r>
      </w:hyperlink>
      <w:r w:rsidRPr="006A7265">
        <w:rPr>
          <w:rFonts w:ascii="Times New Roman" w:eastAsia="Times New Roman" w:hAnsi="Times New Roman" w:cs="Times New Roman"/>
          <w:i/>
          <w:iCs/>
          <w:sz w:val="24"/>
          <w:szCs w:val="24"/>
          <w:lang w:eastAsia="es-CO"/>
        </w:rPr>
        <w:t xml:space="preserve"> del Estatuto Tributario reglamentado por el Decreto 00099 de 2013.</w:t>
      </w:r>
    </w:p>
    <w:p w:rsidR="006A7265" w:rsidRPr="006A7265" w:rsidRDefault="006A7265" w:rsidP="006A7265">
      <w:pPr>
        <w:spacing w:after="0" w:line="240" w:lineRule="auto"/>
        <w:ind w:left="284"/>
        <w:jc w:val="both"/>
        <w:rPr>
          <w:rFonts w:ascii="Times New Roman" w:eastAsia="Times New Roman" w:hAnsi="Times New Roman" w:cs="Times New Roman"/>
          <w:i/>
          <w:iCs/>
          <w:sz w:val="24"/>
          <w:szCs w:val="24"/>
          <w:lang w:eastAsia="es-CO"/>
        </w:rPr>
      </w:pPr>
    </w:p>
    <w:p w:rsidR="006A7265" w:rsidRPr="006A7265" w:rsidRDefault="006A7265" w:rsidP="006A7265">
      <w:pPr>
        <w:spacing w:after="0" w:line="240" w:lineRule="auto"/>
        <w:ind w:left="284"/>
        <w:jc w:val="both"/>
        <w:rPr>
          <w:rFonts w:ascii="Times New Roman" w:eastAsia="Times New Roman" w:hAnsi="Times New Roman" w:cs="Times New Roman"/>
          <w:sz w:val="24"/>
          <w:szCs w:val="24"/>
          <w:lang w:eastAsia="es-CO"/>
        </w:rPr>
      </w:pPr>
      <w:r w:rsidRPr="006A7265">
        <w:rPr>
          <w:rFonts w:ascii="Times New Roman" w:eastAsia="Times New Roman" w:hAnsi="Times New Roman" w:cs="Times New Roman"/>
          <w:i/>
          <w:iCs/>
          <w:sz w:val="24"/>
          <w:szCs w:val="24"/>
          <w:lang w:eastAsia="es-CO"/>
        </w:rPr>
        <w:t xml:space="preserve">A partir del 1° de abril de 2013, la retención en la fuente mensual sobre los pagos o abonos en cuenta efectuados a las personas naturales residentes en el país pertenecientes a la categoría de empleados, cuyos ingresos totales en el año gravable inmediatamente anterior, sean iguales o superiores a cuatro mil setenta y tres (4.073) UVT, en ningún caso puede ser inferior a la que resulte mayor al aplicar la tabla del </w:t>
      </w:r>
      <w:hyperlink r:id="rId15" w:tooltip="Estatuto Tributario CETA" w:history="1">
        <w:r w:rsidRPr="006A7265">
          <w:rPr>
            <w:rFonts w:ascii="Times New Roman" w:eastAsia="Times New Roman" w:hAnsi="Times New Roman" w:cs="Times New Roman"/>
            <w:i/>
            <w:iCs/>
            <w:color w:val="0089E1"/>
            <w:sz w:val="24"/>
            <w:szCs w:val="24"/>
            <w:lang w:eastAsia="es-CO"/>
          </w:rPr>
          <w:t>artículo 383</w:t>
        </w:r>
      </w:hyperlink>
      <w:r w:rsidRPr="006A7265">
        <w:rPr>
          <w:rFonts w:ascii="Times New Roman" w:eastAsia="Times New Roman" w:hAnsi="Times New Roman" w:cs="Times New Roman"/>
          <w:i/>
          <w:iCs/>
          <w:sz w:val="24"/>
          <w:szCs w:val="24"/>
          <w:lang w:eastAsia="es-CO"/>
        </w:rPr>
        <w:t xml:space="preserve"> y la tabla del </w:t>
      </w:r>
      <w:hyperlink r:id="rId16" w:tooltip="Estatuto Tributario CETA" w:history="1">
        <w:r w:rsidRPr="006A7265">
          <w:rPr>
            <w:rFonts w:ascii="Times New Roman" w:eastAsia="Times New Roman" w:hAnsi="Times New Roman" w:cs="Times New Roman"/>
            <w:i/>
            <w:iCs/>
            <w:color w:val="0089E1"/>
            <w:sz w:val="24"/>
            <w:szCs w:val="24"/>
            <w:lang w:eastAsia="es-CO"/>
          </w:rPr>
          <w:t>artículo 384</w:t>
        </w:r>
      </w:hyperlink>
      <w:r w:rsidRPr="006A7265">
        <w:rPr>
          <w:rFonts w:ascii="Times New Roman" w:eastAsia="Times New Roman" w:hAnsi="Times New Roman" w:cs="Times New Roman"/>
          <w:i/>
          <w:iCs/>
          <w:sz w:val="24"/>
          <w:szCs w:val="24"/>
          <w:lang w:eastAsia="es-CO"/>
        </w:rPr>
        <w:t xml:space="preserve"> del Estatuto Tributario.</w:t>
      </w:r>
    </w:p>
    <w:p w:rsidR="006A7265" w:rsidRPr="006A7265" w:rsidRDefault="006A7265" w:rsidP="006A7265">
      <w:pPr>
        <w:spacing w:after="0" w:line="240" w:lineRule="auto"/>
        <w:ind w:left="284"/>
        <w:jc w:val="both"/>
        <w:rPr>
          <w:rFonts w:ascii="Times New Roman" w:eastAsia="Times New Roman" w:hAnsi="Times New Roman" w:cs="Times New Roman"/>
          <w:sz w:val="24"/>
          <w:szCs w:val="24"/>
          <w:lang w:eastAsia="es-CO"/>
        </w:rPr>
      </w:pPr>
    </w:p>
    <w:p w:rsidR="006A7265" w:rsidRPr="006A7265" w:rsidRDefault="006A7265" w:rsidP="006A7265">
      <w:pPr>
        <w:spacing w:after="0" w:line="240" w:lineRule="auto"/>
        <w:ind w:left="284"/>
        <w:jc w:val="both"/>
        <w:rPr>
          <w:rFonts w:ascii="Times New Roman" w:eastAsia="Times New Roman" w:hAnsi="Times New Roman" w:cs="Times New Roman"/>
          <w:i/>
          <w:iCs/>
          <w:sz w:val="24"/>
          <w:szCs w:val="24"/>
          <w:u w:val="single"/>
          <w:lang w:eastAsia="es-CO"/>
        </w:rPr>
      </w:pPr>
      <w:r w:rsidRPr="006A7265">
        <w:rPr>
          <w:rFonts w:ascii="Times New Roman" w:eastAsia="Times New Roman" w:hAnsi="Times New Roman" w:cs="Times New Roman"/>
          <w:i/>
          <w:iCs/>
          <w:sz w:val="24"/>
          <w:szCs w:val="24"/>
          <w:u w:val="single"/>
          <w:lang w:eastAsia="es-CO"/>
        </w:rPr>
        <w:t>2. Retención en la fuente para personas naturales no pertenecientes a la categoría de empleados</w:t>
      </w:r>
    </w:p>
    <w:p w:rsidR="006A7265" w:rsidRPr="006A7265" w:rsidRDefault="006A7265" w:rsidP="006A7265">
      <w:pPr>
        <w:spacing w:after="0" w:line="240" w:lineRule="auto"/>
        <w:ind w:left="284"/>
        <w:jc w:val="both"/>
        <w:rPr>
          <w:rFonts w:ascii="Times New Roman" w:eastAsia="Times New Roman" w:hAnsi="Times New Roman" w:cs="Times New Roman"/>
          <w:sz w:val="24"/>
          <w:szCs w:val="24"/>
          <w:lang w:eastAsia="es-CO"/>
        </w:rPr>
      </w:pPr>
    </w:p>
    <w:p w:rsidR="006A7265" w:rsidRPr="006A7265" w:rsidRDefault="006A7265" w:rsidP="006A7265">
      <w:pPr>
        <w:spacing w:after="0" w:line="240" w:lineRule="auto"/>
        <w:ind w:left="284"/>
        <w:jc w:val="both"/>
        <w:rPr>
          <w:rFonts w:ascii="Times New Roman" w:eastAsia="Times New Roman" w:hAnsi="Times New Roman" w:cs="Times New Roman"/>
          <w:sz w:val="24"/>
          <w:szCs w:val="24"/>
          <w:lang w:eastAsia="es-CO"/>
        </w:rPr>
      </w:pPr>
      <w:r w:rsidRPr="006A7265">
        <w:rPr>
          <w:rFonts w:ascii="Times New Roman" w:eastAsia="Times New Roman" w:hAnsi="Times New Roman" w:cs="Times New Roman"/>
          <w:i/>
          <w:iCs/>
          <w:sz w:val="24"/>
          <w:szCs w:val="24"/>
          <w:lang w:eastAsia="es-CO"/>
        </w:rPr>
        <w:lastRenderedPageBreak/>
        <w:t>2.1. Pagos provenientes de una relación laboral</w:t>
      </w:r>
    </w:p>
    <w:p w:rsidR="006A7265" w:rsidRPr="006A7265" w:rsidRDefault="006A7265" w:rsidP="006A7265">
      <w:pPr>
        <w:spacing w:after="0" w:line="240" w:lineRule="auto"/>
        <w:ind w:left="284"/>
        <w:jc w:val="both"/>
        <w:rPr>
          <w:rFonts w:ascii="Times New Roman" w:eastAsia="Times New Roman" w:hAnsi="Times New Roman" w:cs="Times New Roman"/>
          <w:sz w:val="24"/>
          <w:szCs w:val="24"/>
          <w:lang w:eastAsia="es-CO"/>
        </w:rPr>
      </w:pPr>
      <w:r w:rsidRPr="006A7265">
        <w:rPr>
          <w:rFonts w:ascii="Times New Roman" w:eastAsia="Times New Roman" w:hAnsi="Times New Roman" w:cs="Times New Roman"/>
          <w:i/>
          <w:iCs/>
          <w:sz w:val="24"/>
          <w:szCs w:val="24"/>
          <w:lang w:eastAsia="es-CO"/>
        </w:rPr>
        <w:t>…</w:t>
      </w:r>
    </w:p>
    <w:p w:rsidR="006A7265" w:rsidRPr="006A7265" w:rsidRDefault="006A7265" w:rsidP="006A7265">
      <w:pPr>
        <w:spacing w:after="0" w:line="240" w:lineRule="auto"/>
        <w:ind w:left="284"/>
        <w:jc w:val="both"/>
        <w:rPr>
          <w:rFonts w:ascii="Times New Roman" w:eastAsia="Times New Roman" w:hAnsi="Times New Roman" w:cs="Times New Roman"/>
          <w:i/>
          <w:iCs/>
          <w:sz w:val="24"/>
          <w:szCs w:val="24"/>
          <w:u w:val="single"/>
          <w:lang w:eastAsia="es-CO"/>
        </w:rPr>
      </w:pPr>
      <w:r w:rsidRPr="006A7265">
        <w:rPr>
          <w:rFonts w:ascii="Times New Roman" w:eastAsia="Times New Roman" w:hAnsi="Times New Roman" w:cs="Times New Roman"/>
          <w:i/>
          <w:iCs/>
          <w:sz w:val="24"/>
          <w:szCs w:val="24"/>
          <w:u w:val="single"/>
          <w:lang w:eastAsia="es-CO"/>
        </w:rPr>
        <w:t>2.2. Pagos o abonos en cuenta por concepto de honorarios, comisiones y servicios</w:t>
      </w:r>
    </w:p>
    <w:p w:rsidR="006A7265" w:rsidRPr="006A7265" w:rsidRDefault="006A7265" w:rsidP="006A7265">
      <w:pPr>
        <w:spacing w:after="0" w:line="240" w:lineRule="auto"/>
        <w:ind w:left="284"/>
        <w:jc w:val="both"/>
        <w:rPr>
          <w:rFonts w:ascii="Times New Roman" w:eastAsia="Times New Roman" w:hAnsi="Times New Roman" w:cs="Times New Roman"/>
          <w:sz w:val="24"/>
          <w:szCs w:val="24"/>
          <w:lang w:eastAsia="es-CO"/>
        </w:rPr>
      </w:pPr>
    </w:p>
    <w:p w:rsidR="006A7265" w:rsidRPr="006A7265" w:rsidRDefault="006A7265" w:rsidP="006A7265">
      <w:pPr>
        <w:spacing w:after="0" w:line="240" w:lineRule="auto"/>
        <w:ind w:left="284"/>
        <w:jc w:val="both"/>
        <w:rPr>
          <w:rFonts w:ascii="Times New Roman" w:eastAsia="Times New Roman" w:hAnsi="Times New Roman" w:cs="Times New Roman"/>
          <w:i/>
          <w:iCs/>
          <w:sz w:val="24"/>
          <w:szCs w:val="24"/>
          <w:u w:val="single"/>
          <w:lang w:eastAsia="es-CO"/>
        </w:rPr>
      </w:pPr>
      <w:r w:rsidRPr="006A7265">
        <w:rPr>
          <w:rFonts w:ascii="Times New Roman" w:eastAsia="Times New Roman" w:hAnsi="Times New Roman" w:cs="Times New Roman"/>
          <w:i/>
          <w:iCs/>
          <w:sz w:val="24"/>
          <w:szCs w:val="24"/>
          <w:u w:val="single"/>
          <w:lang w:eastAsia="es-CO"/>
        </w:rPr>
        <w:t xml:space="preserve">Los pagos o abonos en cuenta por concepto de honorarios, comisiones y servicios efectuados a personas naturales residentes en el país no pertenecientes a la categoría de empleados, están sometidos a las tarifas de retención previstas en el </w:t>
      </w:r>
      <w:hyperlink r:id="rId17" w:tooltip="Estatuto Tributario CETA" w:history="1">
        <w:r w:rsidRPr="006A7265">
          <w:rPr>
            <w:rFonts w:ascii="Times New Roman" w:eastAsia="Times New Roman" w:hAnsi="Times New Roman" w:cs="Times New Roman"/>
            <w:i/>
            <w:iCs/>
            <w:color w:val="0089E1"/>
            <w:sz w:val="24"/>
            <w:szCs w:val="24"/>
            <w:lang w:eastAsia="es-CO"/>
          </w:rPr>
          <w:t>artículo 392</w:t>
        </w:r>
      </w:hyperlink>
      <w:r w:rsidRPr="006A7265">
        <w:rPr>
          <w:rFonts w:ascii="Times New Roman" w:eastAsia="Times New Roman" w:hAnsi="Times New Roman" w:cs="Times New Roman"/>
          <w:i/>
          <w:iCs/>
          <w:sz w:val="24"/>
          <w:szCs w:val="24"/>
          <w:u w:val="single"/>
          <w:lang w:eastAsia="es-CO"/>
        </w:rPr>
        <w:t xml:space="preserve"> del Estatuto Tributario en concordancia con el Decreto Reglamentario 260 de 2001.</w:t>
      </w:r>
    </w:p>
    <w:p w:rsidR="006A7265" w:rsidRPr="006A7265" w:rsidRDefault="006A7265" w:rsidP="006A7265">
      <w:pPr>
        <w:spacing w:after="0" w:line="240" w:lineRule="auto"/>
        <w:ind w:left="284"/>
        <w:jc w:val="both"/>
        <w:rPr>
          <w:rFonts w:ascii="Times New Roman" w:eastAsia="Times New Roman" w:hAnsi="Times New Roman" w:cs="Times New Roman"/>
          <w:sz w:val="24"/>
          <w:szCs w:val="24"/>
          <w:lang w:eastAsia="es-CO"/>
        </w:rPr>
      </w:pPr>
    </w:p>
    <w:p w:rsidR="006A7265" w:rsidRPr="006A7265" w:rsidRDefault="006A7265" w:rsidP="006A7265">
      <w:pPr>
        <w:spacing w:after="0" w:line="240" w:lineRule="auto"/>
        <w:ind w:left="284"/>
        <w:jc w:val="both"/>
        <w:rPr>
          <w:rFonts w:ascii="Times New Roman" w:eastAsia="Times New Roman" w:hAnsi="Times New Roman" w:cs="Times New Roman"/>
          <w:sz w:val="24"/>
          <w:szCs w:val="24"/>
          <w:lang w:eastAsia="es-CO"/>
        </w:rPr>
      </w:pPr>
      <w:r w:rsidRPr="006A7265">
        <w:rPr>
          <w:rFonts w:ascii="Times New Roman" w:eastAsia="Times New Roman" w:hAnsi="Times New Roman" w:cs="Times New Roman"/>
          <w:i/>
          <w:iCs/>
          <w:sz w:val="24"/>
          <w:szCs w:val="24"/>
          <w:lang w:eastAsia="es-CO"/>
        </w:rPr>
        <w:t>En este contexto, para efectos de determinar el régimen de retención en la fuente aplicable, es indispensable establecer la categoría tributaria a la cual pertenece la persona natural residente en el país beneficiaria del pago o abono en cuenta sobre el cual se practica la retención.</w:t>
      </w:r>
    </w:p>
    <w:p w:rsidR="006A7265" w:rsidRPr="006A7265" w:rsidRDefault="006A7265" w:rsidP="006A7265">
      <w:pPr>
        <w:spacing w:after="0" w:line="240" w:lineRule="auto"/>
        <w:ind w:left="284"/>
        <w:jc w:val="both"/>
        <w:rPr>
          <w:rFonts w:ascii="Times New Roman" w:eastAsia="Times New Roman" w:hAnsi="Times New Roman" w:cs="Times New Roman"/>
          <w:sz w:val="24"/>
          <w:szCs w:val="24"/>
          <w:lang w:eastAsia="es-CO"/>
        </w:rPr>
      </w:pPr>
      <w:r w:rsidRPr="006A7265">
        <w:rPr>
          <w:rFonts w:ascii="Times New Roman" w:eastAsia="Times New Roman" w:hAnsi="Times New Roman" w:cs="Times New Roman"/>
          <w:i/>
          <w:iCs/>
          <w:sz w:val="24"/>
          <w:szCs w:val="24"/>
          <w:lang w:eastAsia="es-CO"/>
        </w:rPr>
        <w:t xml:space="preserve">...” </w:t>
      </w:r>
      <w:r w:rsidRPr="006A7265">
        <w:rPr>
          <w:rFonts w:ascii="Times New Roman" w:eastAsia="Times New Roman" w:hAnsi="Times New Roman" w:cs="Times New Roman"/>
          <w:sz w:val="24"/>
          <w:szCs w:val="24"/>
          <w:lang w:eastAsia="es-CO"/>
        </w:rPr>
        <w:t>(</w:t>
      </w:r>
      <w:proofErr w:type="gramStart"/>
      <w:r w:rsidRPr="006A7265">
        <w:rPr>
          <w:rFonts w:ascii="Times New Roman" w:eastAsia="Times New Roman" w:hAnsi="Times New Roman" w:cs="Times New Roman"/>
          <w:sz w:val="24"/>
          <w:szCs w:val="24"/>
          <w:lang w:eastAsia="es-CO"/>
        </w:rPr>
        <w:t>subrayado</w:t>
      </w:r>
      <w:proofErr w:type="gramEnd"/>
      <w:r w:rsidRPr="006A7265">
        <w:rPr>
          <w:rFonts w:ascii="Times New Roman" w:eastAsia="Times New Roman" w:hAnsi="Times New Roman" w:cs="Times New Roman"/>
          <w:sz w:val="24"/>
          <w:szCs w:val="24"/>
          <w:lang w:eastAsia="es-CO"/>
        </w:rPr>
        <w:t xml:space="preserve"> fuera de texto).</w:t>
      </w:r>
    </w:p>
    <w:p w:rsidR="006A7265" w:rsidRPr="006A7265" w:rsidRDefault="006A7265" w:rsidP="006A7265">
      <w:pPr>
        <w:spacing w:after="0" w:line="240" w:lineRule="auto"/>
        <w:jc w:val="both"/>
        <w:rPr>
          <w:rFonts w:ascii="Times New Roman" w:eastAsia="Times New Roman" w:hAnsi="Times New Roman" w:cs="Times New Roman"/>
          <w:sz w:val="24"/>
          <w:szCs w:val="24"/>
          <w:lang w:eastAsia="es-CO"/>
        </w:rPr>
      </w:pPr>
    </w:p>
    <w:p w:rsidR="006A7265" w:rsidRPr="006A7265" w:rsidRDefault="006A7265" w:rsidP="006A7265">
      <w:pPr>
        <w:spacing w:after="0" w:line="240" w:lineRule="auto"/>
        <w:jc w:val="both"/>
        <w:rPr>
          <w:rFonts w:ascii="Times New Roman" w:eastAsia="Times New Roman" w:hAnsi="Times New Roman" w:cs="Times New Roman"/>
          <w:sz w:val="24"/>
          <w:szCs w:val="24"/>
          <w:lang w:eastAsia="es-CO"/>
        </w:rPr>
      </w:pPr>
      <w:r w:rsidRPr="006A7265">
        <w:rPr>
          <w:rFonts w:ascii="Times New Roman" w:eastAsia="Times New Roman" w:hAnsi="Times New Roman" w:cs="Times New Roman"/>
          <w:sz w:val="24"/>
          <w:szCs w:val="24"/>
          <w:lang w:eastAsia="es-CO"/>
        </w:rPr>
        <w:t xml:space="preserve">En este orden de ideas, es preciso reiterar que a partir de la vigencia de la Ley 1607 de 2012, el régimen de retención en la fuente aplicable sobre los pagos o abonos en cuenta efectuados a las personas naturales residentes en el país que prestan servicios personales, dependerá de la categoría tributaria en la cual deban clasificarse de conformidad con el </w:t>
      </w:r>
      <w:hyperlink r:id="rId18" w:tooltip="Estatuto Tributario CETA" w:history="1">
        <w:r w:rsidRPr="006A7265">
          <w:rPr>
            <w:rFonts w:ascii="Times New Roman" w:eastAsia="Times New Roman" w:hAnsi="Times New Roman" w:cs="Times New Roman"/>
            <w:color w:val="0089E1"/>
            <w:sz w:val="24"/>
            <w:szCs w:val="24"/>
            <w:lang w:eastAsia="es-CO"/>
          </w:rPr>
          <w:t>artículo 329</w:t>
        </w:r>
      </w:hyperlink>
      <w:r w:rsidRPr="006A7265">
        <w:rPr>
          <w:rFonts w:ascii="Times New Roman" w:eastAsia="Times New Roman" w:hAnsi="Times New Roman" w:cs="Times New Roman"/>
          <w:sz w:val="24"/>
          <w:szCs w:val="24"/>
          <w:lang w:eastAsia="es-CO"/>
        </w:rPr>
        <w:t xml:space="preserve"> del Estatuto Tributario. Para mayor comprensión del tema remitimos fotocopia del oficio número 17857 del 26 de marzo de 2013.</w:t>
      </w:r>
    </w:p>
    <w:p w:rsidR="006A7265" w:rsidRPr="006A7265" w:rsidRDefault="006A7265" w:rsidP="006A7265">
      <w:pPr>
        <w:spacing w:after="0" w:line="240" w:lineRule="auto"/>
        <w:jc w:val="both"/>
        <w:rPr>
          <w:rFonts w:ascii="Times New Roman" w:eastAsia="Times New Roman" w:hAnsi="Times New Roman" w:cs="Times New Roman"/>
          <w:sz w:val="24"/>
          <w:szCs w:val="24"/>
          <w:lang w:eastAsia="es-CO"/>
        </w:rPr>
      </w:pPr>
    </w:p>
    <w:p w:rsidR="006A7265" w:rsidRPr="006A7265" w:rsidRDefault="006A7265" w:rsidP="006A7265">
      <w:pPr>
        <w:spacing w:after="0" w:line="240" w:lineRule="auto"/>
        <w:jc w:val="both"/>
        <w:rPr>
          <w:rFonts w:ascii="Times New Roman" w:eastAsia="Times New Roman" w:hAnsi="Times New Roman" w:cs="Times New Roman"/>
          <w:sz w:val="24"/>
          <w:szCs w:val="24"/>
          <w:lang w:eastAsia="es-CO"/>
        </w:rPr>
      </w:pPr>
      <w:r w:rsidRPr="006A7265">
        <w:rPr>
          <w:rFonts w:ascii="Times New Roman" w:eastAsia="Times New Roman" w:hAnsi="Times New Roman" w:cs="Times New Roman"/>
          <w:sz w:val="24"/>
          <w:szCs w:val="24"/>
          <w:lang w:eastAsia="es-CO"/>
        </w:rPr>
        <w:t xml:space="preserve">Así las cosas, si la persona natural residente en el país clasifica en la categoría tributaria de empleado, le aplica a partir del 1° de enero de 2013, la tabla de retención en la fuente contenida en el </w:t>
      </w:r>
      <w:hyperlink r:id="rId19" w:tooltip="Estatuto Tributario CETA" w:history="1">
        <w:r w:rsidRPr="006A7265">
          <w:rPr>
            <w:rFonts w:ascii="Times New Roman" w:eastAsia="Times New Roman" w:hAnsi="Times New Roman" w:cs="Times New Roman"/>
            <w:color w:val="0089E1"/>
            <w:sz w:val="24"/>
            <w:szCs w:val="24"/>
            <w:lang w:eastAsia="es-CO"/>
          </w:rPr>
          <w:t>artículo 383</w:t>
        </w:r>
      </w:hyperlink>
      <w:r w:rsidRPr="006A7265">
        <w:rPr>
          <w:rFonts w:ascii="Times New Roman" w:eastAsia="Times New Roman" w:hAnsi="Times New Roman" w:cs="Times New Roman"/>
          <w:sz w:val="24"/>
          <w:szCs w:val="24"/>
          <w:lang w:eastAsia="es-CO"/>
        </w:rPr>
        <w:t xml:space="preserve"> del Estatuto Tributario. Sin embargo, si sus ingresos totales en el año gravable inmediatamente anterior, fueron iguales o superiores a cuatro mil setenta y tres (4.073) UVT, a partir del 1° de abril de 2013, la retención en la fuente en ningún caso puede ser inferior a la que resulte mayor al aplicar la tabla del </w:t>
      </w:r>
      <w:hyperlink r:id="rId20" w:tooltip="Estatuto Tributario CETA" w:history="1">
        <w:r w:rsidRPr="006A7265">
          <w:rPr>
            <w:rFonts w:ascii="Times New Roman" w:eastAsia="Times New Roman" w:hAnsi="Times New Roman" w:cs="Times New Roman"/>
            <w:color w:val="0089E1"/>
            <w:sz w:val="24"/>
            <w:szCs w:val="24"/>
            <w:lang w:eastAsia="es-CO"/>
          </w:rPr>
          <w:t>artículo 383</w:t>
        </w:r>
      </w:hyperlink>
      <w:r w:rsidRPr="006A7265">
        <w:rPr>
          <w:rFonts w:ascii="Times New Roman" w:eastAsia="Times New Roman" w:hAnsi="Times New Roman" w:cs="Times New Roman"/>
          <w:sz w:val="24"/>
          <w:szCs w:val="24"/>
          <w:lang w:eastAsia="es-CO"/>
        </w:rPr>
        <w:t xml:space="preserve"> y la tabla del </w:t>
      </w:r>
      <w:hyperlink r:id="rId21" w:tooltip="Estatuto Tributario CETA" w:history="1">
        <w:r w:rsidRPr="006A7265">
          <w:rPr>
            <w:rFonts w:ascii="Times New Roman" w:eastAsia="Times New Roman" w:hAnsi="Times New Roman" w:cs="Times New Roman"/>
            <w:color w:val="0089E1"/>
            <w:sz w:val="24"/>
            <w:szCs w:val="24"/>
            <w:lang w:eastAsia="es-CO"/>
          </w:rPr>
          <w:t>artículo 384</w:t>
        </w:r>
      </w:hyperlink>
      <w:r w:rsidRPr="006A7265">
        <w:rPr>
          <w:rFonts w:ascii="Times New Roman" w:eastAsia="Times New Roman" w:hAnsi="Times New Roman" w:cs="Times New Roman"/>
          <w:sz w:val="24"/>
          <w:szCs w:val="24"/>
          <w:lang w:eastAsia="es-CO"/>
        </w:rPr>
        <w:t xml:space="preserve"> del Estatuto Tributario.</w:t>
      </w:r>
    </w:p>
    <w:p w:rsidR="006A7265" w:rsidRPr="006A7265" w:rsidRDefault="006A7265" w:rsidP="006A7265">
      <w:pPr>
        <w:spacing w:after="0" w:line="240" w:lineRule="auto"/>
        <w:jc w:val="both"/>
        <w:rPr>
          <w:rFonts w:ascii="Times New Roman" w:eastAsia="Times New Roman" w:hAnsi="Times New Roman" w:cs="Times New Roman"/>
          <w:sz w:val="24"/>
          <w:szCs w:val="24"/>
          <w:lang w:eastAsia="es-CO"/>
        </w:rPr>
      </w:pPr>
    </w:p>
    <w:p w:rsidR="006A7265" w:rsidRPr="006A7265" w:rsidRDefault="006A7265" w:rsidP="006A7265">
      <w:pPr>
        <w:spacing w:after="0" w:line="240" w:lineRule="auto"/>
        <w:jc w:val="both"/>
        <w:rPr>
          <w:rFonts w:ascii="Times New Roman" w:eastAsia="Times New Roman" w:hAnsi="Times New Roman" w:cs="Times New Roman"/>
          <w:sz w:val="24"/>
          <w:szCs w:val="24"/>
          <w:lang w:eastAsia="es-CO"/>
        </w:rPr>
      </w:pPr>
      <w:r w:rsidRPr="006A7265">
        <w:rPr>
          <w:rFonts w:ascii="Times New Roman" w:eastAsia="Times New Roman" w:hAnsi="Times New Roman" w:cs="Times New Roman"/>
          <w:sz w:val="24"/>
          <w:szCs w:val="24"/>
          <w:lang w:eastAsia="es-CO"/>
        </w:rPr>
        <w:t xml:space="preserve">En este punto, es necesario advertir que la depuración de la base de retención en la fuente, difiere en función de la tabla que se aplique. Es decir, para la tabla del </w:t>
      </w:r>
      <w:hyperlink r:id="rId22" w:tooltip="Estatuto Tributario CETA" w:history="1">
        <w:r w:rsidRPr="006A7265">
          <w:rPr>
            <w:rFonts w:ascii="Times New Roman" w:eastAsia="Times New Roman" w:hAnsi="Times New Roman" w:cs="Times New Roman"/>
            <w:color w:val="0089E1"/>
            <w:sz w:val="24"/>
            <w:szCs w:val="24"/>
            <w:lang w:eastAsia="es-CO"/>
          </w:rPr>
          <w:t>artículo 383</w:t>
        </w:r>
      </w:hyperlink>
      <w:r w:rsidRPr="006A7265">
        <w:rPr>
          <w:rFonts w:ascii="Times New Roman" w:eastAsia="Times New Roman" w:hAnsi="Times New Roman" w:cs="Times New Roman"/>
          <w:sz w:val="24"/>
          <w:szCs w:val="24"/>
          <w:lang w:eastAsia="es-CO"/>
        </w:rPr>
        <w:t xml:space="preserve"> aplican las reglas de determinación de la retención en la fuente consagradas, entre otros, en los artículos </w:t>
      </w:r>
      <w:hyperlink r:id="rId23" w:tooltip="Estatuto Tributario CETA" w:history="1">
        <w:r w:rsidRPr="006A7265">
          <w:rPr>
            <w:rFonts w:ascii="Times New Roman" w:eastAsia="Times New Roman" w:hAnsi="Times New Roman" w:cs="Times New Roman"/>
            <w:color w:val="0089E1"/>
            <w:sz w:val="24"/>
            <w:szCs w:val="24"/>
            <w:lang w:eastAsia="es-CO"/>
          </w:rPr>
          <w:t>126-1</w:t>
        </w:r>
      </w:hyperlink>
      <w:r w:rsidRPr="006A7265">
        <w:rPr>
          <w:rFonts w:ascii="Times New Roman" w:eastAsia="Times New Roman" w:hAnsi="Times New Roman" w:cs="Times New Roman"/>
          <w:sz w:val="24"/>
          <w:szCs w:val="24"/>
          <w:lang w:eastAsia="es-CO"/>
        </w:rPr>
        <w:t xml:space="preserve">, </w:t>
      </w:r>
      <w:hyperlink r:id="rId24" w:tooltip="Estatuto Tributario CETA" w:history="1">
        <w:r w:rsidRPr="006A7265">
          <w:rPr>
            <w:rFonts w:ascii="Times New Roman" w:eastAsia="Times New Roman" w:hAnsi="Times New Roman" w:cs="Times New Roman"/>
            <w:color w:val="0089E1"/>
            <w:sz w:val="24"/>
            <w:szCs w:val="24"/>
            <w:lang w:eastAsia="es-CO"/>
          </w:rPr>
          <w:t>126-4</w:t>
        </w:r>
      </w:hyperlink>
      <w:r w:rsidRPr="006A7265">
        <w:rPr>
          <w:rFonts w:ascii="Times New Roman" w:eastAsia="Times New Roman" w:hAnsi="Times New Roman" w:cs="Times New Roman"/>
          <w:sz w:val="24"/>
          <w:szCs w:val="24"/>
          <w:lang w:eastAsia="es-CO"/>
        </w:rPr>
        <w:t xml:space="preserve"> y </w:t>
      </w:r>
      <w:hyperlink r:id="rId25" w:tooltip="Estatuto Tributario CETA" w:history="1">
        <w:r w:rsidRPr="006A7265">
          <w:rPr>
            <w:rFonts w:ascii="Times New Roman" w:eastAsia="Times New Roman" w:hAnsi="Times New Roman" w:cs="Times New Roman"/>
            <w:color w:val="0089E1"/>
            <w:sz w:val="24"/>
            <w:szCs w:val="24"/>
            <w:lang w:eastAsia="es-CO"/>
          </w:rPr>
          <w:t>387</w:t>
        </w:r>
      </w:hyperlink>
      <w:r w:rsidRPr="006A7265">
        <w:rPr>
          <w:rFonts w:ascii="Times New Roman" w:eastAsia="Times New Roman" w:hAnsi="Times New Roman" w:cs="Times New Roman"/>
          <w:sz w:val="24"/>
          <w:szCs w:val="24"/>
          <w:lang w:eastAsia="es-CO"/>
        </w:rPr>
        <w:t xml:space="preserve"> del Estatuto Tributario y en el artículo 2° del Decreto 0099 de 2013. En tanto que para la tabla del </w:t>
      </w:r>
      <w:hyperlink r:id="rId26" w:tooltip="Estatuto Tributario CETA" w:history="1">
        <w:r w:rsidRPr="006A7265">
          <w:rPr>
            <w:rFonts w:ascii="Times New Roman" w:eastAsia="Times New Roman" w:hAnsi="Times New Roman" w:cs="Times New Roman"/>
            <w:color w:val="0089E1"/>
            <w:sz w:val="24"/>
            <w:szCs w:val="24"/>
            <w:lang w:eastAsia="es-CO"/>
          </w:rPr>
          <w:t>artículo 384</w:t>
        </w:r>
      </w:hyperlink>
      <w:r w:rsidRPr="006A7265">
        <w:rPr>
          <w:rFonts w:ascii="Times New Roman" w:eastAsia="Times New Roman" w:hAnsi="Times New Roman" w:cs="Times New Roman"/>
          <w:sz w:val="24"/>
          <w:szCs w:val="24"/>
          <w:lang w:eastAsia="es-CO"/>
        </w:rPr>
        <w:t>, por disposición expresa del mismo artículo en concordancia con el artículo 3° del Decreto 0099 de 2013, se restan los aportes obligatorios al sistema general de seguridad social, a saber: salud, pensiones y riesgos laborales a cargo del empleado.</w:t>
      </w:r>
    </w:p>
    <w:p w:rsidR="006A7265" w:rsidRPr="006A7265" w:rsidRDefault="006A7265" w:rsidP="006A7265">
      <w:pPr>
        <w:spacing w:after="0" w:line="240" w:lineRule="auto"/>
        <w:jc w:val="both"/>
        <w:rPr>
          <w:rFonts w:ascii="Times New Roman" w:eastAsia="Times New Roman" w:hAnsi="Times New Roman" w:cs="Times New Roman"/>
          <w:sz w:val="24"/>
          <w:szCs w:val="24"/>
          <w:lang w:eastAsia="es-CO"/>
        </w:rPr>
      </w:pPr>
    </w:p>
    <w:p w:rsidR="006A7265" w:rsidRPr="006A7265" w:rsidRDefault="006A7265" w:rsidP="006A7265">
      <w:pPr>
        <w:spacing w:after="0" w:line="240" w:lineRule="auto"/>
        <w:jc w:val="both"/>
        <w:rPr>
          <w:rFonts w:ascii="Times New Roman" w:eastAsia="Times New Roman" w:hAnsi="Times New Roman" w:cs="Times New Roman"/>
          <w:sz w:val="24"/>
          <w:szCs w:val="24"/>
          <w:lang w:eastAsia="es-CO"/>
        </w:rPr>
      </w:pPr>
      <w:r w:rsidRPr="006A7265">
        <w:rPr>
          <w:rFonts w:ascii="Times New Roman" w:eastAsia="Times New Roman" w:hAnsi="Times New Roman" w:cs="Times New Roman"/>
          <w:sz w:val="24"/>
          <w:szCs w:val="24"/>
          <w:lang w:eastAsia="es-CO"/>
        </w:rPr>
        <w:t xml:space="preserve">Ahora bien, si la persona natural residente en el país no clasifica en la categoría tributaria de empleado, los pagos o abonos en cuenta efectuados por concepto de honorarios, comisiones y servicios están sometidos a las tarifas de retención previstas en el </w:t>
      </w:r>
      <w:hyperlink r:id="rId27" w:tooltip="Estatuto Tributario CETA" w:history="1">
        <w:r w:rsidRPr="006A7265">
          <w:rPr>
            <w:rFonts w:ascii="Times New Roman" w:eastAsia="Times New Roman" w:hAnsi="Times New Roman" w:cs="Times New Roman"/>
            <w:color w:val="0089E1"/>
            <w:sz w:val="24"/>
            <w:szCs w:val="24"/>
            <w:lang w:eastAsia="es-CO"/>
          </w:rPr>
          <w:t>artículo 392</w:t>
        </w:r>
      </w:hyperlink>
      <w:r w:rsidRPr="006A7265">
        <w:rPr>
          <w:rFonts w:ascii="Times New Roman" w:eastAsia="Times New Roman" w:hAnsi="Times New Roman" w:cs="Times New Roman"/>
          <w:sz w:val="24"/>
          <w:szCs w:val="24"/>
          <w:lang w:eastAsia="es-CO"/>
        </w:rPr>
        <w:t xml:space="preserve"> del Estatuto Tributario en concordancia con el Decreto Reglamentario 260 de 2001, de conformidad con lo dispuesto en el parágrafo 3° del artículo 1° del Decreto 0099 de 2013. En tal evento aplican los factores de depuración de la base de retención en la fuente, expresamente señalados en los artículos </w:t>
      </w:r>
      <w:hyperlink r:id="rId28" w:tooltip="Estatuto Tributario CETA" w:history="1">
        <w:r w:rsidRPr="006A7265">
          <w:rPr>
            <w:rFonts w:ascii="Times New Roman" w:eastAsia="Times New Roman" w:hAnsi="Times New Roman" w:cs="Times New Roman"/>
            <w:color w:val="0089E1"/>
            <w:sz w:val="24"/>
            <w:szCs w:val="24"/>
            <w:lang w:eastAsia="es-CO"/>
          </w:rPr>
          <w:t>126-1</w:t>
        </w:r>
      </w:hyperlink>
      <w:r w:rsidRPr="006A7265">
        <w:rPr>
          <w:rFonts w:ascii="Times New Roman" w:eastAsia="Times New Roman" w:hAnsi="Times New Roman" w:cs="Times New Roman"/>
          <w:sz w:val="24"/>
          <w:szCs w:val="24"/>
          <w:lang w:eastAsia="es-CO"/>
        </w:rPr>
        <w:t xml:space="preserve"> y </w:t>
      </w:r>
      <w:hyperlink r:id="rId29" w:tooltip="Estatuto Tributario CETA" w:history="1">
        <w:r w:rsidRPr="006A7265">
          <w:rPr>
            <w:rFonts w:ascii="Times New Roman" w:eastAsia="Times New Roman" w:hAnsi="Times New Roman" w:cs="Times New Roman"/>
            <w:color w:val="0089E1"/>
            <w:sz w:val="24"/>
            <w:szCs w:val="24"/>
            <w:lang w:eastAsia="es-CO"/>
          </w:rPr>
          <w:t>126-4</w:t>
        </w:r>
      </w:hyperlink>
      <w:r w:rsidRPr="006A7265">
        <w:rPr>
          <w:rFonts w:ascii="Times New Roman" w:eastAsia="Times New Roman" w:hAnsi="Times New Roman" w:cs="Times New Roman"/>
          <w:sz w:val="24"/>
          <w:szCs w:val="24"/>
          <w:lang w:eastAsia="es-CO"/>
        </w:rPr>
        <w:t xml:space="preserve"> del Estatuto Tributario y en el artículo 4° del Decreto Reglamentario 2271 de 2009, es decir: el valor total del aporte que </w:t>
      </w:r>
      <w:r w:rsidRPr="006A7265">
        <w:rPr>
          <w:rFonts w:ascii="Times New Roman" w:eastAsia="Times New Roman" w:hAnsi="Times New Roman" w:cs="Times New Roman"/>
          <w:sz w:val="24"/>
          <w:szCs w:val="24"/>
          <w:lang w:eastAsia="es-CO"/>
        </w:rPr>
        <w:lastRenderedPageBreak/>
        <w:t>deba efectuar al Sistema General de Seguridad Social en Salud, los aportes obligatorios y voluntarios a los fondos de pensiones, y las sumas que destine al ahorro a largo plazo en las cuentas denominadas “Ahorro para el Fomento a la Construcción, AFC”.</w:t>
      </w:r>
    </w:p>
    <w:p w:rsidR="006A7265" w:rsidRPr="006A7265" w:rsidRDefault="006A7265" w:rsidP="006A7265">
      <w:pPr>
        <w:spacing w:after="0" w:line="240" w:lineRule="auto"/>
        <w:jc w:val="both"/>
        <w:rPr>
          <w:rFonts w:ascii="Times New Roman" w:eastAsia="Times New Roman" w:hAnsi="Times New Roman" w:cs="Times New Roman"/>
          <w:sz w:val="24"/>
          <w:szCs w:val="24"/>
          <w:lang w:eastAsia="es-CO"/>
        </w:rPr>
      </w:pPr>
    </w:p>
    <w:p w:rsidR="006A7265" w:rsidRPr="006A7265" w:rsidRDefault="006A7265" w:rsidP="006A7265">
      <w:pPr>
        <w:spacing w:after="0" w:line="240" w:lineRule="auto"/>
        <w:jc w:val="both"/>
        <w:rPr>
          <w:rFonts w:ascii="Times New Roman" w:eastAsia="Times New Roman" w:hAnsi="Times New Roman" w:cs="Times New Roman"/>
          <w:sz w:val="24"/>
          <w:szCs w:val="24"/>
          <w:lang w:eastAsia="es-CO"/>
        </w:rPr>
      </w:pPr>
      <w:r w:rsidRPr="006A7265">
        <w:rPr>
          <w:rFonts w:ascii="Times New Roman" w:eastAsia="Times New Roman" w:hAnsi="Times New Roman" w:cs="Times New Roman"/>
          <w:sz w:val="24"/>
          <w:szCs w:val="24"/>
          <w:lang w:eastAsia="es-CO"/>
        </w:rPr>
        <w:t>No sobra advertir que el artículo 1° del Decreto Reglamentario 2499 del 6 de diciembre de 2012, al que alude su consulta, modificó el parágrafo del artículo 1° del Decreto Reglamentario 260 de 2001.</w:t>
      </w:r>
    </w:p>
    <w:p w:rsidR="006A7265" w:rsidRPr="006A7265" w:rsidRDefault="006A7265" w:rsidP="006A7265">
      <w:pPr>
        <w:spacing w:after="0" w:line="240" w:lineRule="auto"/>
        <w:jc w:val="both"/>
        <w:rPr>
          <w:rFonts w:ascii="Times New Roman" w:eastAsia="Times New Roman" w:hAnsi="Times New Roman" w:cs="Times New Roman"/>
          <w:sz w:val="24"/>
          <w:szCs w:val="24"/>
          <w:lang w:eastAsia="es-CO"/>
        </w:rPr>
      </w:pPr>
    </w:p>
    <w:p w:rsidR="006A7265" w:rsidRPr="006A7265" w:rsidRDefault="006A7265" w:rsidP="006A7265">
      <w:pPr>
        <w:spacing w:after="0" w:line="240" w:lineRule="auto"/>
        <w:jc w:val="both"/>
        <w:rPr>
          <w:rFonts w:ascii="Times New Roman" w:eastAsia="Times New Roman" w:hAnsi="Times New Roman" w:cs="Times New Roman"/>
          <w:sz w:val="24"/>
          <w:szCs w:val="24"/>
          <w:lang w:eastAsia="es-CO"/>
        </w:rPr>
      </w:pPr>
      <w:r w:rsidRPr="006A7265">
        <w:rPr>
          <w:rFonts w:ascii="Times New Roman" w:eastAsia="Times New Roman" w:hAnsi="Times New Roman" w:cs="Times New Roman"/>
          <w:sz w:val="24"/>
          <w:szCs w:val="24"/>
          <w:lang w:eastAsia="es-CO"/>
        </w:rPr>
        <w:t>De manera atenta le informamos que los demás temas consultados serán objeto del reglamento que sobre retención en la fuente prepara el Gobierno Nacional.</w:t>
      </w:r>
    </w:p>
    <w:p w:rsidR="006A7265" w:rsidRPr="006A7265" w:rsidRDefault="006A7265" w:rsidP="006A7265">
      <w:pPr>
        <w:spacing w:after="0" w:line="240" w:lineRule="auto"/>
        <w:jc w:val="both"/>
        <w:rPr>
          <w:rFonts w:ascii="Times New Roman" w:eastAsia="Times New Roman" w:hAnsi="Times New Roman" w:cs="Times New Roman"/>
          <w:sz w:val="24"/>
          <w:szCs w:val="24"/>
          <w:lang w:eastAsia="es-CO"/>
        </w:rPr>
      </w:pPr>
    </w:p>
    <w:p w:rsidR="006A7265" w:rsidRPr="006A7265" w:rsidRDefault="006A7265" w:rsidP="006A7265">
      <w:pPr>
        <w:spacing w:after="0" w:line="240" w:lineRule="auto"/>
        <w:jc w:val="both"/>
        <w:rPr>
          <w:rFonts w:ascii="Times New Roman" w:eastAsia="Times New Roman" w:hAnsi="Times New Roman" w:cs="Times New Roman"/>
          <w:sz w:val="24"/>
          <w:szCs w:val="24"/>
          <w:lang w:eastAsia="es-CO"/>
        </w:rPr>
      </w:pPr>
      <w:r w:rsidRPr="006A7265">
        <w:rPr>
          <w:rFonts w:ascii="Times New Roman" w:eastAsia="Times New Roman" w:hAnsi="Times New Roman" w:cs="Times New Roman"/>
          <w:sz w:val="24"/>
          <w:szCs w:val="24"/>
          <w:lang w:eastAsia="es-CO"/>
        </w:rPr>
        <w:t>Atentamente,</w:t>
      </w:r>
    </w:p>
    <w:p w:rsidR="006A7265" w:rsidRPr="006A7265" w:rsidRDefault="006A7265" w:rsidP="006A7265">
      <w:pPr>
        <w:spacing w:after="0" w:line="240" w:lineRule="auto"/>
        <w:jc w:val="both"/>
        <w:rPr>
          <w:rFonts w:ascii="Times New Roman" w:eastAsia="Times New Roman" w:hAnsi="Times New Roman" w:cs="Times New Roman"/>
          <w:sz w:val="24"/>
          <w:szCs w:val="24"/>
          <w:lang w:eastAsia="es-CO"/>
        </w:rPr>
      </w:pPr>
    </w:p>
    <w:p w:rsidR="006A7265" w:rsidRPr="006A7265" w:rsidRDefault="006A7265" w:rsidP="006A7265">
      <w:pPr>
        <w:spacing w:after="0" w:line="240" w:lineRule="auto"/>
        <w:jc w:val="both"/>
        <w:rPr>
          <w:rFonts w:ascii="Times New Roman" w:eastAsia="Times New Roman" w:hAnsi="Times New Roman" w:cs="Times New Roman"/>
          <w:sz w:val="24"/>
          <w:szCs w:val="24"/>
          <w:lang w:eastAsia="es-CO"/>
        </w:rPr>
      </w:pPr>
    </w:p>
    <w:p w:rsidR="006A7265" w:rsidRPr="006A7265" w:rsidRDefault="006A7265" w:rsidP="006A7265">
      <w:pPr>
        <w:spacing w:after="0" w:line="240" w:lineRule="auto"/>
        <w:jc w:val="both"/>
        <w:rPr>
          <w:rFonts w:ascii="Times New Roman" w:eastAsia="Times New Roman" w:hAnsi="Times New Roman" w:cs="Times New Roman"/>
          <w:b/>
          <w:sz w:val="24"/>
          <w:szCs w:val="24"/>
          <w:lang w:eastAsia="es-CO"/>
        </w:rPr>
      </w:pPr>
      <w:r w:rsidRPr="006A7265">
        <w:rPr>
          <w:rFonts w:ascii="Times New Roman" w:eastAsia="Times New Roman" w:hAnsi="Times New Roman" w:cs="Times New Roman"/>
          <w:b/>
          <w:sz w:val="24"/>
          <w:szCs w:val="24"/>
          <w:lang w:eastAsia="es-CO"/>
        </w:rPr>
        <w:t>La Directora de Gestión Jurídica,</w:t>
      </w:r>
    </w:p>
    <w:p w:rsidR="006A7265" w:rsidRPr="006A7265" w:rsidRDefault="006A7265" w:rsidP="001A1DE0">
      <w:pPr>
        <w:spacing w:after="0" w:line="240" w:lineRule="auto"/>
        <w:jc w:val="both"/>
        <w:rPr>
          <w:rFonts w:ascii="Times New Roman" w:eastAsia="Times New Roman" w:hAnsi="Times New Roman" w:cs="Times New Roman"/>
          <w:b/>
          <w:i/>
          <w:iCs/>
          <w:sz w:val="24"/>
          <w:szCs w:val="24"/>
          <w:lang w:eastAsia="es-CO"/>
        </w:rPr>
      </w:pPr>
    </w:p>
    <w:p w:rsidR="006A7265" w:rsidRPr="006A7265" w:rsidRDefault="006A7265" w:rsidP="001A1DE0">
      <w:pPr>
        <w:spacing w:after="0" w:line="240" w:lineRule="auto"/>
        <w:jc w:val="both"/>
        <w:rPr>
          <w:rFonts w:ascii="Times New Roman" w:eastAsia="Times New Roman" w:hAnsi="Times New Roman" w:cs="Times New Roman"/>
          <w:sz w:val="24"/>
          <w:szCs w:val="24"/>
          <w:lang w:eastAsia="es-CO"/>
        </w:rPr>
      </w:pPr>
      <w:r w:rsidRPr="006A7265">
        <w:rPr>
          <w:rFonts w:ascii="Times New Roman" w:eastAsia="Times New Roman" w:hAnsi="Times New Roman" w:cs="Times New Roman"/>
          <w:i/>
          <w:iCs/>
          <w:sz w:val="24"/>
          <w:szCs w:val="24"/>
          <w:lang w:eastAsia="es-CO"/>
        </w:rPr>
        <w:t>Isabel Cristina Garcés Sánchez.</w:t>
      </w:r>
    </w:p>
    <w:p w:rsidR="006A7265" w:rsidRPr="006A7265" w:rsidRDefault="006A7265" w:rsidP="001A1DE0">
      <w:pPr>
        <w:spacing w:after="0" w:line="240" w:lineRule="auto"/>
        <w:jc w:val="both"/>
        <w:rPr>
          <w:rFonts w:ascii="Times New Roman" w:eastAsia="Times New Roman" w:hAnsi="Times New Roman" w:cs="Times New Roman"/>
          <w:sz w:val="24"/>
          <w:szCs w:val="24"/>
          <w:lang w:eastAsia="es-CO"/>
        </w:rPr>
      </w:pPr>
    </w:p>
    <w:p w:rsidR="006A7265" w:rsidRPr="006A7265" w:rsidRDefault="006A7265" w:rsidP="006A7265">
      <w:pPr>
        <w:spacing w:after="0" w:line="240" w:lineRule="auto"/>
        <w:jc w:val="both"/>
        <w:rPr>
          <w:rFonts w:ascii="Times New Roman" w:eastAsia="Times New Roman" w:hAnsi="Times New Roman" w:cs="Times New Roman"/>
          <w:sz w:val="24"/>
          <w:szCs w:val="24"/>
          <w:lang w:eastAsia="es-CO"/>
        </w:rPr>
      </w:pPr>
    </w:p>
    <w:p w:rsidR="006A7265" w:rsidRPr="006A7265" w:rsidRDefault="006A7265" w:rsidP="006A7265">
      <w:pPr>
        <w:spacing w:after="0" w:line="240" w:lineRule="auto"/>
        <w:jc w:val="both"/>
        <w:rPr>
          <w:rFonts w:ascii="Times New Roman" w:eastAsia="Times New Roman" w:hAnsi="Times New Roman" w:cs="Times New Roman"/>
          <w:sz w:val="24"/>
          <w:szCs w:val="24"/>
          <w:lang w:eastAsia="es-CO"/>
        </w:rPr>
      </w:pPr>
      <w:r w:rsidRPr="006A7265">
        <w:rPr>
          <w:rFonts w:ascii="Times New Roman" w:eastAsia="Times New Roman" w:hAnsi="Times New Roman" w:cs="Times New Roman"/>
          <w:sz w:val="24"/>
          <w:szCs w:val="24"/>
          <w:lang w:eastAsia="es-CO"/>
        </w:rPr>
        <w:t>Anexo: Oficio 017857 de 2013</w:t>
      </w:r>
    </w:p>
    <w:p w:rsidR="006A7265" w:rsidRPr="006A7265" w:rsidRDefault="006A7265" w:rsidP="006A7265">
      <w:pPr>
        <w:spacing w:after="0" w:line="240" w:lineRule="auto"/>
        <w:jc w:val="both"/>
        <w:rPr>
          <w:rFonts w:ascii="Times New Roman" w:eastAsia="Times New Roman" w:hAnsi="Times New Roman" w:cs="Times New Roman"/>
          <w:sz w:val="24"/>
          <w:szCs w:val="24"/>
          <w:lang w:eastAsia="es-CO"/>
        </w:rPr>
      </w:pPr>
    </w:p>
    <w:p w:rsidR="006A7265" w:rsidRPr="006A7265" w:rsidRDefault="006A7265" w:rsidP="006A7265">
      <w:pPr>
        <w:spacing w:after="0" w:line="240" w:lineRule="auto"/>
        <w:jc w:val="both"/>
        <w:rPr>
          <w:rFonts w:ascii="Times New Roman" w:eastAsia="Times New Roman" w:hAnsi="Times New Roman" w:cs="Times New Roman"/>
          <w:b/>
          <w:sz w:val="24"/>
          <w:szCs w:val="24"/>
          <w:lang w:eastAsia="es-CO"/>
        </w:rPr>
      </w:pPr>
      <w:r w:rsidRPr="006A7265">
        <w:rPr>
          <w:rFonts w:ascii="Times New Roman" w:eastAsia="Times New Roman" w:hAnsi="Times New Roman" w:cs="Times New Roman"/>
          <w:b/>
          <w:sz w:val="24"/>
          <w:szCs w:val="24"/>
          <w:lang w:eastAsia="es-CO"/>
        </w:rPr>
        <w:t>Publicado en D.O. 48.821 del 14 de junio de 2013.</w:t>
      </w:r>
    </w:p>
    <w:p w:rsidR="006A7265" w:rsidRPr="006A7265" w:rsidRDefault="006A7265" w:rsidP="006A7265">
      <w:pPr>
        <w:spacing w:after="285" w:line="240" w:lineRule="auto"/>
        <w:jc w:val="both"/>
        <w:rPr>
          <w:rFonts w:ascii="Times New Roman" w:eastAsia="Times New Roman" w:hAnsi="Times New Roman" w:cs="Times New Roman"/>
          <w:sz w:val="24"/>
          <w:szCs w:val="24"/>
          <w:lang w:eastAsia="es-CO"/>
        </w:rPr>
      </w:pPr>
      <w:r w:rsidRPr="006A7265">
        <w:rPr>
          <w:rFonts w:ascii="Times New Roman" w:eastAsia="Times New Roman" w:hAnsi="Times New Roman" w:cs="Times New Roman"/>
          <w:sz w:val="24"/>
          <w:szCs w:val="24"/>
          <w:lang w:eastAsia="es-CO"/>
        </w:rPr>
        <w:t> </w:t>
      </w:r>
    </w:p>
    <w:p w:rsidR="00AA731A" w:rsidRPr="001A1DE0" w:rsidRDefault="00AA731A">
      <w:pPr>
        <w:rPr>
          <w:rFonts w:ascii="Times New Roman" w:hAnsi="Times New Roman" w:cs="Times New Roman"/>
          <w:sz w:val="24"/>
          <w:szCs w:val="24"/>
        </w:rPr>
      </w:pPr>
    </w:p>
    <w:sectPr w:rsidR="00AA731A" w:rsidRPr="001A1D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265"/>
    <w:rsid w:val="001A1DE0"/>
    <w:rsid w:val="006A7265"/>
    <w:rsid w:val="008B0D76"/>
    <w:rsid w:val="00AA73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476" TargetMode="External"/><Relationship Id="rId13" Type="http://schemas.openxmlformats.org/officeDocument/2006/relationships/hyperlink" Target="http://www.ceta.org.co/html/vista_de_un_articulo.asp?Norma=477" TargetMode="External"/><Relationship Id="rId18" Type="http://schemas.openxmlformats.org/officeDocument/2006/relationships/hyperlink" Target="http://www.ceta.org.co/html/vista_de_un_articulo.asp?Norma=408" TargetMode="External"/><Relationship Id="rId26" Type="http://schemas.openxmlformats.org/officeDocument/2006/relationships/hyperlink" Target="http://www.ceta.org.co/html/vista_de_un_articulo.asp?Norma=477" TargetMode="External"/><Relationship Id="rId3" Type="http://schemas.openxmlformats.org/officeDocument/2006/relationships/settings" Target="settings.xml"/><Relationship Id="rId21" Type="http://schemas.openxmlformats.org/officeDocument/2006/relationships/hyperlink" Target="http://www.ceta.org.co/html/vista_de_un_articulo.asp?Norma=477" TargetMode="External"/><Relationship Id="rId7" Type="http://schemas.openxmlformats.org/officeDocument/2006/relationships/hyperlink" Target="http://www.ceta.org.co/html/vista_de_un_articulo.asp?Norma=408" TargetMode="External"/><Relationship Id="rId12" Type="http://schemas.openxmlformats.org/officeDocument/2006/relationships/hyperlink" Target="http://www.ceta.org.co/html/vista_de_un_articulo.asp?Norma=476" TargetMode="External"/><Relationship Id="rId17" Type="http://schemas.openxmlformats.org/officeDocument/2006/relationships/hyperlink" Target="http://www.ceta.org.co/html/vista_de_un_articulo.asp?Norma=486" TargetMode="External"/><Relationship Id="rId25" Type="http://schemas.openxmlformats.org/officeDocument/2006/relationships/hyperlink" Target="http://www.ceta.org.co/html/vista_de_un_articulo.asp?Norma=480"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477" TargetMode="External"/><Relationship Id="rId20" Type="http://schemas.openxmlformats.org/officeDocument/2006/relationships/hyperlink" Target="http://www.ceta.org.co/html/vista_de_un_articulo.asp?Norma=476" TargetMode="External"/><Relationship Id="rId29" Type="http://schemas.openxmlformats.org/officeDocument/2006/relationships/hyperlink" Target="http://www.ceta.org.co/html/vista_de_un_articulo.asp?Norma=186" TargetMode="External"/><Relationship Id="rId1" Type="http://schemas.openxmlformats.org/officeDocument/2006/relationships/styles" Target="styles.xml"/><Relationship Id="rId6" Type="http://schemas.openxmlformats.org/officeDocument/2006/relationships/hyperlink" Target="http://www.ceta.org.co/html/vista_de_un_articulo.asp?Norma=186" TargetMode="External"/><Relationship Id="rId11" Type="http://schemas.openxmlformats.org/officeDocument/2006/relationships/hyperlink" Target="http://www.ceta.org.co/html/vista_de_un_articulo.asp?Norma=408" TargetMode="External"/><Relationship Id="rId24" Type="http://schemas.openxmlformats.org/officeDocument/2006/relationships/hyperlink" Target="http://www.ceta.org.co/html/vista_de_un_articulo.asp?Norma=186" TargetMode="External"/><Relationship Id="rId5" Type="http://schemas.openxmlformats.org/officeDocument/2006/relationships/hyperlink" Target="http://www.ceta.org.co/html/vista_de_un_articulo.asp?Norma=183" TargetMode="External"/><Relationship Id="rId15" Type="http://schemas.openxmlformats.org/officeDocument/2006/relationships/hyperlink" Target="http://www.ceta.org.co/html/vista_de_un_articulo.asp?Norma=476" TargetMode="External"/><Relationship Id="rId23" Type="http://schemas.openxmlformats.org/officeDocument/2006/relationships/hyperlink" Target="http://www.ceta.org.co/html/vista_de_un_articulo.asp?Norma=183" TargetMode="External"/><Relationship Id="rId28" Type="http://schemas.openxmlformats.org/officeDocument/2006/relationships/hyperlink" Target="http://www.ceta.org.co/html/vista_de_un_articulo.asp?Norma=183" TargetMode="External"/><Relationship Id="rId10" Type="http://schemas.openxmlformats.org/officeDocument/2006/relationships/hyperlink" Target="http://www.ceta.org.co/html/vista_de_un_articulo.asp?Norma=480" TargetMode="External"/><Relationship Id="rId19" Type="http://schemas.openxmlformats.org/officeDocument/2006/relationships/hyperlink" Target="http://www.ceta.org.co/html/vista_de_un_articulo.asp?Norma=47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eta.org.co/html/vista_de_un_articulo.asp?Norma=477" TargetMode="External"/><Relationship Id="rId14" Type="http://schemas.openxmlformats.org/officeDocument/2006/relationships/hyperlink" Target="http://www.ceta.org.co/html/vista_de_un_articulo.asp?Norma=476" TargetMode="External"/><Relationship Id="rId22" Type="http://schemas.openxmlformats.org/officeDocument/2006/relationships/hyperlink" Target="http://www.ceta.org.co/html/vista_de_un_articulo.asp?Norma=476" TargetMode="External"/><Relationship Id="rId27" Type="http://schemas.openxmlformats.org/officeDocument/2006/relationships/hyperlink" Target="http://www.ceta.org.co/html/vista_de_un_articulo.asp?Norma=486"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1687</Words>
  <Characters>9280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cp:revision>
  <dcterms:created xsi:type="dcterms:W3CDTF">2013-07-21T14:33:00Z</dcterms:created>
  <dcterms:modified xsi:type="dcterms:W3CDTF">2013-07-21T14:35:00Z</dcterms:modified>
</cp:coreProperties>
</file>